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F5A2" w14:textId="77777777" w:rsidR="00921D5F" w:rsidRPr="0044397D" w:rsidRDefault="0042075F" w:rsidP="0001517C">
      <w:pPr>
        <w:jc w:val="center"/>
        <w:rPr>
          <w:b/>
        </w:rPr>
      </w:pPr>
      <w:r w:rsidRPr="0044397D">
        <w:rPr>
          <w:b/>
        </w:rPr>
        <w:t>NOTICE OF INTENT</w:t>
      </w:r>
    </w:p>
    <w:p w14:paraId="7EF41540" w14:textId="77777777" w:rsidR="00C40D63" w:rsidRPr="0044397D" w:rsidRDefault="00C40D63" w:rsidP="0001517C">
      <w:pPr>
        <w:jc w:val="both"/>
        <w:rPr>
          <w:b/>
        </w:rPr>
      </w:pPr>
    </w:p>
    <w:p w14:paraId="74E02A70" w14:textId="77777777" w:rsidR="00921D5F" w:rsidRPr="0044397D" w:rsidRDefault="00921D5F" w:rsidP="0001517C">
      <w:pPr>
        <w:jc w:val="center"/>
        <w:rPr>
          <w:b/>
        </w:rPr>
      </w:pPr>
      <w:r w:rsidRPr="0044397D">
        <w:rPr>
          <w:b/>
        </w:rPr>
        <w:t>Department of Revenue</w:t>
      </w:r>
    </w:p>
    <w:p w14:paraId="56C903FF" w14:textId="77777777" w:rsidR="00921D5F" w:rsidRPr="0044397D" w:rsidRDefault="00761334" w:rsidP="0001517C">
      <w:pPr>
        <w:jc w:val="center"/>
        <w:rPr>
          <w:b/>
        </w:rPr>
      </w:pPr>
      <w:r w:rsidRPr="0044397D">
        <w:rPr>
          <w:b/>
        </w:rPr>
        <w:t xml:space="preserve">Tax </w:t>
      </w:r>
      <w:r w:rsidR="00921D5F" w:rsidRPr="0044397D">
        <w:rPr>
          <w:b/>
        </w:rPr>
        <w:t xml:space="preserve">Policy </w:t>
      </w:r>
      <w:r w:rsidRPr="0044397D">
        <w:rPr>
          <w:b/>
        </w:rPr>
        <w:t>and Planning</w:t>
      </w:r>
      <w:r w:rsidR="00921D5F" w:rsidRPr="0044397D">
        <w:rPr>
          <w:b/>
        </w:rPr>
        <w:t xml:space="preserve"> Division</w:t>
      </w:r>
    </w:p>
    <w:p w14:paraId="78AB2A78" w14:textId="77777777" w:rsidR="00C40D63" w:rsidRPr="0044397D" w:rsidRDefault="00C40D63" w:rsidP="0001517C">
      <w:pPr>
        <w:jc w:val="both"/>
        <w:rPr>
          <w:b/>
        </w:rPr>
      </w:pPr>
    </w:p>
    <w:p w14:paraId="59893FD1" w14:textId="77777777" w:rsidR="0042075F" w:rsidRPr="0044397D" w:rsidRDefault="00B66847" w:rsidP="0001517C">
      <w:pPr>
        <w:jc w:val="center"/>
        <w:rPr>
          <w:u w:val="words"/>
        </w:rPr>
      </w:pPr>
      <w:r w:rsidRPr="0044397D">
        <w:t xml:space="preserve"> </w:t>
      </w:r>
      <w:r w:rsidR="005B44FF" w:rsidRPr="0044397D">
        <w:t xml:space="preserve"> </w:t>
      </w:r>
      <w:r w:rsidR="0051477B">
        <w:t>Exemptions for Digital Tools</w:t>
      </w:r>
    </w:p>
    <w:p w14:paraId="01622972" w14:textId="77777777" w:rsidR="00921D5F" w:rsidRPr="0044397D" w:rsidRDefault="00921D5F" w:rsidP="0001517C">
      <w:pPr>
        <w:jc w:val="center"/>
      </w:pPr>
      <w:r w:rsidRPr="0044397D">
        <w:t xml:space="preserve">(LAC </w:t>
      </w:r>
      <w:proofErr w:type="gramStart"/>
      <w:r w:rsidR="00AE2038" w:rsidRPr="0044397D">
        <w:t>61:I.</w:t>
      </w:r>
      <w:proofErr w:type="gramEnd"/>
      <w:r w:rsidR="005E34C7" w:rsidRPr="0044397D">
        <w:t>440</w:t>
      </w:r>
      <w:r w:rsidR="00107E5A">
        <w:t>5</w:t>
      </w:r>
      <w:r w:rsidRPr="0044397D">
        <w:t>)</w:t>
      </w:r>
    </w:p>
    <w:p w14:paraId="2DDC98D6" w14:textId="77777777" w:rsidR="00C40D63" w:rsidRPr="0044397D" w:rsidRDefault="00C40D63" w:rsidP="0001517C">
      <w:pPr>
        <w:jc w:val="both"/>
        <w:rPr>
          <w:b/>
        </w:rPr>
      </w:pPr>
    </w:p>
    <w:p w14:paraId="02E019D9" w14:textId="77777777" w:rsidR="00E73139" w:rsidRDefault="004E2F8E" w:rsidP="00F34C02">
      <w:pPr>
        <w:jc w:val="both"/>
        <w:rPr>
          <w:bCs/>
        </w:rPr>
      </w:pPr>
      <w:r w:rsidRPr="007F3A5B">
        <w:rPr>
          <w:bCs/>
        </w:rPr>
        <w:t xml:space="preserve">Under </w:t>
      </w:r>
      <w:r w:rsidR="00E00330" w:rsidRPr="007F3A5B">
        <w:rPr>
          <w:bCs/>
        </w:rPr>
        <w:t>the authority of R.S. 47:</w:t>
      </w:r>
      <w:r w:rsidR="0051477B">
        <w:rPr>
          <w:bCs/>
        </w:rPr>
        <w:t xml:space="preserve">305.12(E) and </w:t>
      </w:r>
      <w:r w:rsidR="005B44FF" w:rsidRPr="007F3A5B">
        <w:rPr>
          <w:bCs/>
        </w:rPr>
        <w:t>1511</w:t>
      </w:r>
      <w:r w:rsidRPr="007F3A5B">
        <w:rPr>
          <w:bCs/>
        </w:rPr>
        <w:t xml:space="preserve"> and in accordance with the provisions of the Administrative Procedure Act, R.S. 49:950 et seq., the Department of Revenue, </w:t>
      </w:r>
      <w:r w:rsidR="008E79B1" w:rsidRPr="007F3A5B">
        <w:rPr>
          <w:bCs/>
        </w:rPr>
        <w:t xml:space="preserve">Tax </w:t>
      </w:r>
      <w:r w:rsidRPr="007F3A5B">
        <w:rPr>
          <w:bCs/>
        </w:rPr>
        <w:t>Policy</w:t>
      </w:r>
      <w:r w:rsidR="008E79B1" w:rsidRPr="007F3A5B">
        <w:rPr>
          <w:bCs/>
        </w:rPr>
        <w:t xml:space="preserve"> and Planning </w:t>
      </w:r>
      <w:r w:rsidR="009577D1" w:rsidRPr="007F3A5B">
        <w:rPr>
          <w:bCs/>
        </w:rPr>
        <w:t>Division</w:t>
      </w:r>
      <w:r w:rsidR="00107E5A" w:rsidRPr="007F3A5B">
        <w:rPr>
          <w:bCs/>
        </w:rPr>
        <w:t xml:space="preserve">, proposes to adopt </w:t>
      </w:r>
      <w:r w:rsidR="00D461D1">
        <w:rPr>
          <w:bCs/>
        </w:rPr>
        <w:t xml:space="preserve">LAC 61:I.4405 </w:t>
      </w:r>
      <w:r w:rsidR="00107E5A" w:rsidRPr="007F3A5B">
        <w:rPr>
          <w:bCs/>
        </w:rPr>
        <w:t>to clarify the</w:t>
      </w:r>
      <w:r w:rsidR="00A01470">
        <w:rPr>
          <w:bCs/>
        </w:rPr>
        <w:t xml:space="preserve"> </w:t>
      </w:r>
      <w:r w:rsidR="00297F39">
        <w:rPr>
          <w:bCs/>
        </w:rPr>
        <w:t>sales tax exemption</w:t>
      </w:r>
      <w:r w:rsidR="00D461D1">
        <w:rPr>
          <w:bCs/>
        </w:rPr>
        <w:t>s</w:t>
      </w:r>
      <w:r w:rsidR="00297F39">
        <w:rPr>
          <w:bCs/>
        </w:rPr>
        <w:t xml:space="preserve"> provided in R.S. 47:305.12 for</w:t>
      </w:r>
      <w:r w:rsidR="00A01470">
        <w:rPr>
          <w:bCs/>
        </w:rPr>
        <w:t xml:space="preserve"> </w:t>
      </w:r>
      <w:r w:rsidR="00A01470" w:rsidRPr="0044397D">
        <w:t>purchase</w:t>
      </w:r>
      <w:r w:rsidR="00A01470">
        <w:t>s</w:t>
      </w:r>
      <w:r w:rsidR="00A01470" w:rsidRPr="0044397D">
        <w:t xml:space="preserve"> of digital products, computer software, prewritten computer software access services and information services </w:t>
      </w:r>
      <w:r w:rsidR="00A01470">
        <w:t>(digital tools)</w:t>
      </w:r>
      <w:r w:rsidR="00A01234">
        <w:t>.</w:t>
      </w:r>
      <w:r w:rsidR="00BD671E" w:rsidRPr="007F3A5B">
        <w:rPr>
          <w:bCs/>
        </w:rPr>
        <w:t xml:space="preserve">  </w:t>
      </w:r>
    </w:p>
    <w:p w14:paraId="6A4C391D" w14:textId="77777777" w:rsidR="008A1FF1" w:rsidRDefault="008A1FF1" w:rsidP="00F34C02">
      <w:pPr>
        <w:jc w:val="both"/>
        <w:rPr>
          <w:bCs/>
        </w:rPr>
      </w:pPr>
    </w:p>
    <w:p w14:paraId="0937F43B" w14:textId="77777777" w:rsidR="008A1FF1" w:rsidRDefault="008A1FF1" w:rsidP="00F34C02">
      <w:pPr>
        <w:jc w:val="both"/>
        <w:rPr>
          <w:bCs/>
        </w:rPr>
      </w:pPr>
      <w:r>
        <w:rPr>
          <w:bCs/>
        </w:rPr>
        <w:t xml:space="preserve">The purpose of </w:t>
      </w:r>
      <w:r w:rsidR="00D461D1">
        <w:rPr>
          <w:bCs/>
        </w:rPr>
        <w:t>the proposed Rule</w:t>
      </w:r>
      <w:r>
        <w:rPr>
          <w:bCs/>
        </w:rPr>
        <w:t xml:space="preserve"> is to provide definitions, guidance</w:t>
      </w:r>
      <w:r w:rsidR="00297F39">
        <w:rPr>
          <w:bCs/>
        </w:rPr>
        <w:t>,</w:t>
      </w:r>
      <w:r>
        <w:rPr>
          <w:bCs/>
        </w:rPr>
        <w:t xml:space="preserve"> and </w:t>
      </w:r>
      <w:r w:rsidR="00297F39">
        <w:rPr>
          <w:bCs/>
        </w:rPr>
        <w:t xml:space="preserve">illustrative </w:t>
      </w:r>
      <w:r>
        <w:rPr>
          <w:bCs/>
        </w:rPr>
        <w:t xml:space="preserve">examples to </w:t>
      </w:r>
      <w:r w:rsidR="00297F39">
        <w:rPr>
          <w:bCs/>
        </w:rPr>
        <w:t xml:space="preserve">help </w:t>
      </w:r>
      <w:r>
        <w:rPr>
          <w:bCs/>
        </w:rPr>
        <w:t xml:space="preserve">businesses, financial institutions and healthcare facilities and providers </w:t>
      </w:r>
      <w:r w:rsidR="00297F39">
        <w:rPr>
          <w:bCs/>
        </w:rPr>
        <w:t>determine</w:t>
      </w:r>
      <w:r w:rsidR="00D35EBE">
        <w:rPr>
          <w:bCs/>
        </w:rPr>
        <w:t xml:space="preserve"> whether</w:t>
      </w:r>
      <w:r w:rsidR="00297F39">
        <w:rPr>
          <w:bCs/>
        </w:rPr>
        <w:t xml:space="preserve"> their purchases of digital tools </w:t>
      </w:r>
      <w:r>
        <w:rPr>
          <w:bCs/>
        </w:rPr>
        <w:t>qualif</w:t>
      </w:r>
      <w:r w:rsidR="00297F39">
        <w:rPr>
          <w:bCs/>
        </w:rPr>
        <w:t>y</w:t>
      </w:r>
      <w:r>
        <w:rPr>
          <w:bCs/>
        </w:rPr>
        <w:t xml:space="preserve"> for the exemption under R.S. 47:305.12.</w:t>
      </w:r>
      <w:r w:rsidR="00A01234">
        <w:rPr>
          <w:bCs/>
        </w:rPr>
        <w:t xml:space="preserve">  </w:t>
      </w:r>
    </w:p>
    <w:p w14:paraId="42A13055" w14:textId="77777777" w:rsidR="00E73139" w:rsidRDefault="00E73139" w:rsidP="00F34C02">
      <w:pPr>
        <w:jc w:val="both"/>
        <w:rPr>
          <w:bCs/>
        </w:rPr>
      </w:pPr>
    </w:p>
    <w:p w14:paraId="3CC80FDC" w14:textId="77777777" w:rsidR="00693E5D" w:rsidRPr="00FF41FD" w:rsidRDefault="00693E5D" w:rsidP="00F34C02">
      <w:pPr>
        <w:jc w:val="both"/>
      </w:pPr>
    </w:p>
    <w:p w14:paraId="621542BC" w14:textId="77777777" w:rsidR="002C2BD0" w:rsidRPr="0044397D" w:rsidRDefault="002C2BD0" w:rsidP="00F34C02">
      <w:pPr>
        <w:pStyle w:val="RegCodeTitle"/>
        <w:rPr>
          <w:sz w:val="24"/>
          <w:szCs w:val="24"/>
        </w:rPr>
      </w:pPr>
      <w:r w:rsidRPr="0044397D">
        <w:rPr>
          <w:sz w:val="24"/>
          <w:szCs w:val="24"/>
        </w:rPr>
        <w:t>Title 61</w:t>
      </w:r>
    </w:p>
    <w:p w14:paraId="64AE2200" w14:textId="77777777" w:rsidR="002C2BD0" w:rsidRPr="0044397D" w:rsidRDefault="002C2BD0" w:rsidP="00F34C02">
      <w:pPr>
        <w:pStyle w:val="RegCodeTitle"/>
        <w:rPr>
          <w:sz w:val="24"/>
          <w:szCs w:val="24"/>
        </w:rPr>
      </w:pPr>
      <w:r w:rsidRPr="0044397D">
        <w:rPr>
          <w:sz w:val="24"/>
          <w:szCs w:val="24"/>
        </w:rPr>
        <w:t>REVENUE AND TAXATION</w:t>
      </w:r>
    </w:p>
    <w:p w14:paraId="075B55EF" w14:textId="77777777" w:rsidR="002C2BD0" w:rsidRPr="0044397D" w:rsidRDefault="002C2BD0" w:rsidP="00F34C02">
      <w:pPr>
        <w:pStyle w:val="RegCodePart"/>
        <w:rPr>
          <w:sz w:val="24"/>
          <w:szCs w:val="24"/>
        </w:rPr>
      </w:pPr>
      <w:r w:rsidRPr="0044397D">
        <w:rPr>
          <w:sz w:val="24"/>
          <w:szCs w:val="24"/>
        </w:rPr>
        <w:t>Part I</w:t>
      </w:r>
      <w:r w:rsidR="0001517C" w:rsidRPr="0044397D">
        <w:rPr>
          <w:sz w:val="24"/>
          <w:szCs w:val="24"/>
        </w:rPr>
        <w:t xml:space="preserve">.  </w:t>
      </w:r>
      <w:r w:rsidR="00125B3F" w:rsidRPr="0044397D">
        <w:rPr>
          <w:sz w:val="24"/>
          <w:szCs w:val="24"/>
        </w:rPr>
        <w:t>Taxes Collected and Administered by the Secretary of Revenue</w:t>
      </w:r>
    </w:p>
    <w:p w14:paraId="55FC75EF" w14:textId="77777777" w:rsidR="00D34478" w:rsidRPr="0044397D" w:rsidRDefault="00D34478" w:rsidP="00F34C02">
      <w:pPr>
        <w:pStyle w:val="Chapter"/>
        <w:tabs>
          <w:tab w:val="clear" w:pos="0"/>
          <w:tab w:val="clear" w:pos="180"/>
          <w:tab w:val="clear" w:pos="216"/>
          <w:tab w:val="clear" w:pos="360"/>
          <w:tab w:val="clear" w:pos="540"/>
          <w:tab w:val="clear" w:pos="720"/>
          <w:tab w:val="clear" w:pos="900"/>
          <w:tab w:val="clear" w:pos="1296"/>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left="0" w:firstLine="0"/>
        <w:jc w:val="both"/>
        <w:rPr>
          <w:sz w:val="24"/>
          <w:szCs w:val="24"/>
        </w:rPr>
      </w:pPr>
      <w:r w:rsidRPr="0044397D">
        <w:rPr>
          <w:sz w:val="24"/>
          <w:szCs w:val="24"/>
        </w:rPr>
        <w:t>Chapter 4</w:t>
      </w:r>
      <w:r w:rsidR="009630E5" w:rsidRPr="0044397D">
        <w:rPr>
          <w:sz w:val="24"/>
          <w:szCs w:val="24"/>
        </w:rPr>
        <w:t>4</w:t>
      </w:r>
      <w:r w:rsidRPr="0044397D">
        <w:rPr>
          <w:sz w:val="24"/>
          <w:szCs w:val="24"/>
        </w:rPr>
        <w:t>. Sales and Use Tax</w:t>
      </w:r>
      <w:r w:rsidR="009630E5" w:rsidRPr="0044397D">
        <w:rPr>
          <w:sz w:val="24"/>
          <w:szCs w:val="24"/>
        </w:rPr>
        <w:t xml:space="preserve"> Exemptions</w:t>
      </w:r>
    </w:p>
    <w:p w14:paraId="51452FEF" w14:textId="77777777" w:rsidR="00836D4A" w:rsidRDefault="0015554F" w:rsidP="00C206D9">
      <w:pPr>
        <w:pStyle w:val="Default"/>
        <w:jc w:val="both"/>
        <w:rPr>
          <w:b/>
          <w:bCs/>
          <w:u w:val="single"/>
        </w:rPr>
      </w:pPr>
      <w:r w:rsidRPr="0044397D">
        <w:rPr>
          <w:b/>
          <w:bCs/>
        </w:rPr>
        <w:t>§</w:t>
      </w:r>
      <w:r w:rsidR="00836D4A">
        <w:rPr>
          <w:b/>
          <w:bCs/>
        </w:rPr>
        <w:t>440</w:t>
      </w:r>
      <w:r w:rsidR="001618FD">
        <w:rPr>
          <w:b/>
          <w:bCs/>
        </w:rPr>
        <w:t>5</w:t>
      </w:r>
      <w:r w:rsidR="00F55608" w:rsidRPr="0044397D">
        <w:rPr>
          <w:b/>
          <w:bCs/>
        </w:rPr>
        <w:tab/>
      </w:r>
      <w:r w:rsidR="00E06B10" w:rsidRPr="001866C0">
        <w:rPr>
          <w:b/>
          <w:bCs/>
          <w:u w:val="single"/>
        </w:rPr>
        <w:t>Exemption</w:t>
      </w:r>
      <w:r w:rsidR="00A01470" w:rsidRPr="001866C0">
        <w:rPr>
          <w:b/>
          <w:bCs/>
          <w:u w:val="single"/>
        </w:rPr>
        <w:t xml:space="preserve"> for digital tools</w:t>
      </w:r>
    </w:p>
    <w:p w14:paraId="664CC30E" w14:textId="77777777" w:rsidR="00AB6403" w:rsidRPr="00D461D1" w:rsidRDefault="00D461D1" w:rsidP="00C206D9">
      <w:pPr>
        <w:pStyle w:val="Default"/>
        <w:jc w:val="both"/>
      </w:pPr>
      <w:r w:rsidRPr="00C76334">
        <w:rPr>
          <w:u w:val="single"/>
        </w:rPr>
        <w:t>A.</w:t>
      </w:r>
      <w:r w:rsidRPr="00C76334">
        <w:rPr>
          <w:u w:val="single"/>
        </w:rPr>
        <w:tab/>
      </w:r>
      <w:r w:rsidR="00E06B10" w:rsidRPr="00C76334">
        <w:rPr>
          <w:u w:val="single"/>
        </w:rPr>
        <w:t>General</w:t>
      </w:r>
      <w:r w:rsidRPr="00C76334">
        <w:rPr>
          <w:u w:val="single"/>
        </w:rPr>
        <w:t xml:space="preserve">. </w:t>
      </w:r>
      <w:r w:rsidR="00E06B10" w:rsidRPr="00C76334">
        <w:rPr>
          <w:u w:val="single"/>
        </w:rPr>
        <w:t>Revised Statute</w:t>
      </w:r>
      <w:r w:rsidR="00176546" w:rsidRPr="00C76334">
        <w:rPr>
          <w:u w:val="single"/>
        </w:rPr>
        <w:t xml:space="preserve"> 47:30</w:t>
      </w:r>
      <w:r w:rsidR="00E9070E" w:rsidRPr="00C76334">
        <w:rPr>
          <w:u w:val="single"/>
        </w:rPr>
        <w:t>5</w:t>
      </w:r>
      <w:r w:rsidR="00176546" w:rsidRPr="00C76334">
        <w:rPr>
          <w:u w:val="single"/>
        </w:rPr>
        <w:t>.12</w:t>
      </w:r>
      <w:r w:rsidR="00A01470" w:rsidRPr="00C76334">
        <w:rPr>
          <w:u w:val="single"/>
        </w:rPr>
        <w:t xml:space="preserve"> </w:t>
      </w:r>
      <w:r w:rsidR="00E06B10" w:rsidRPr="00C76334">
        <w:rPr>
          <w:u w:val="single"/>
        </w:rPr>
        <w:t>exempts</w:t>
      </w:r>
      <w:r w:rsidR="008C1B3F" w:rsidRPr="00D461D1">
        <w:rPr>
          <w:u w:val="single"/>
        </w:rPr>
        <w:t xml:space="preserve"> the purchase of digital tools fr</w:t>
      </w:r>
      <w:r w:rsidR="00E06B10" w:rsidRPr="00D461D1">
        <w:rPr>
          <w:u w:val="single"/>
        </w:rPr>
        <w:t xml:space="preserve">om sales and use tax if </w:t>
      </w:r>
      <w:r w:rsidR="00A01470" w:rsidRPr="00D461D1">
        <w:rPr>
          <w:u w:val="single"/>
        </w:rPr>
        <w:t xml:space="preserve">they are used for commercial </w:t>
      </w:r>
      <w:r w:rsidR="001866C0" w:rsidRPr="00D461D1">
        <w:rPr>
          <w:u w:val="single"/>
        </w:rPr>
        <w:t>production or</w:t>
      </w:r>
      <w:r w:rsidR="008C1B3F" w:rsidRPr="00D461D1">
        <w:rPr>
          <w:u w:val="single"/>
        </w:rPr>
        <w:t xml:space="preserve"> </w:t>
      </w:r>
      <w:r w:rsidR="00A01234" w:rsidRPr="00D461D1">
        <w:rPr>
          <w:u w:val="single"/>
        </w:rPr>
        <w:t xml:space="preserve">used </w:t>
      </w:r>
      <w:r w:rsidR="00A01470" w:rsidRPr="00D461D1">
        <w:rPr>
          <w:u w:val="single"/>
        </w:rPr>
        <w:t>by certain financial institutions</w:t>
      </w:r>
      <w:r>
        <w:rPr>
          <w:u w:val="single"/>
        </w:rPr>
        <w:t xml:space="preserve"> for specific purposes</w:t>
      </w:r>
      <w:r w:rsidR="00A01470" w:rsidRPr="00D461D1">
        <w:rPr>
          <w:u w:val="single"/>
        </w:rPr>
        <w:t xml:space="preserve"> </w:t>
      </w:r>
      <w:proofErr w:type="gramStart"/>
      <w:r w:rsidR="00A01470" w:rsidRPr="00D461D1">
        <w:rPr>
          <w:u w:val="single"/>
        </w:rPr>
        <w:t xml:space="preserve">or </w:t>
      </w:r>
      <w:r w:rsidR="00A01234" w:rsidRPr="00D461D1">
        <w:rPr>
          <w:u w:val="single"/>
        </w:rPr>
        <w:t>used</w:t>
      </w:r>
      <w:proofErr w:type="gramEnd"/>
      <w:r w:rsidR="00A01234" w:rsidRPr="00D461D1">
        <w:rPr>
          <w:u w:val="single"/>
        </w:rPr>
        <w:t xml:space="preserve"> </w:t>
      </w:r>
      <w:r w:rsidR="00A01470" w:rsidRPr="001866C0">
        <w:rPr>
          <w:u w:val="single"/>
        </w:rPr>
        <w:t>by certain healthcare facilities or providers</w:t>
      </w:r>
      <w:r>
        <w:rPr>
          <w:u w:val="single"/>
        </w:rPr>
        <w:t xml:space="preserve"> for specific purposes</w:t>
      </w:r>
      <w:r w:rsidR="00A01470" w:rsidRPr="001866C0">
        <w:rPr>
          <w:u w:val="single"/>
        </w:rPr>
        <w:t>.</w:t>
      </w:r>
      <w:r w:rsidR="00B107D0" w:rsidRPr="001866C0">
        <w:rPr>
          <w:u w:val="single"/>
        </w:rPr>
        <w:t xml:space="preserve"> </w:t>
      </w:r>
    </w:p>
    <w:p w14:paraId="29E3EB1F" w14:textId="77777777" w:rsidR="00C8379E" w:rsidRDefault="00F27A70" w:rsidP="00F34C02">
      <w:pPr>
        <w:pStyle w:val="Default"/>
        <w:jc w:val="both"/>
        <w:rPr>
          <w:u w:val="single"/>
        </w:rPr>
      </w:pPr>
      <w:r w:rsidRPr="001866C0">
        <w:rPr>
          <w:u w:val="single"/>
        </w:rPr>
        <w:t>B.</w:t>
      </w:r>
      <w:r w:rsidR="00297F39" w:rsidRPr="00B973AB">
        <w:rPr>
          <w:u w:val="single"/>
        </w:rPr>
        <w:tab/>
      </w:r>
      <w:r w:rsidR="0043452F" w:rsidRPr="00D461D1">
        <w:rPr>
          <w:u w:val="single"/>
        </w:rPr>
        <w:t>Definitions</w:t>
      </w:r>
      <w:r w:rsidR="00D461D1">
        <w:rPr>
          <w:u w:val="single"/>
        </w:rPr>
        <w:t>.</w:t>
      </w:r>
      <w:r w:rsidR="007D16F0" w:rsidRPr="00D461D1">
        <w:rPr>
          <w:u w:val="single"/>
        </w:rPr>
        <w:t xml:space="preserve"> </w:t>
      </w:r>
      <w:r w:rsidR="00C8379E" w:rsidRPr="001866C0">
        <w:rPr>
          <w:u w:val="single"/>
        </w:rPr>
        <w:t xml:space="preserve">For purposes of </w:t>
      </w:r>
      <w:r w:rsidR="00D461D1">
        <w:rPr>
          <w:u w:val="single"/>
        </w:rPr>
        <w:t>this Section</w:t>
      </w:r>
      <w:r w:rsidR="00C8379E" w:rsidRPr="001866C0">
        <w:rPr>
          <w:u w:val="single"/>
        </w:rPr>
        <w:t>:</w:t>
      </w:r>
    </w:p>
    <w:p w14:paraId="27BFC17B" w14:textId="77777777" w:rsidR="00F76441" w:rsidRDefault="00F76441" w:rsidP="00F34C02">
      <w:pPr>
        <w:pStyle w:val="Default"/>
        <w:jc w:val="both"/>
        <w:rPr>
          <w:u w:val="single"/>
        </w:rPr>
      </w:pPr>
      <w:r w:rsidRPr="001866C0">
        <w:rPr>
          <w:i/>
          <w:iCs/>
          <w:u w:val="single"/>
        </w:rPr>
        <w:t>Digital tools</w:t>
      </w:r>
      <w:r>
        <w:rPr>
          <w:u w:val="single"/>
        </w:rPr>
        <w:t xml:space="preserve"> </w:t>
      </w:r>
      <w:r w:rsidR="00297F39" w:rsidRPr="00F32161">
        <w:rPr>
          <w:rFonts w:ascii="Cambria" w:eastAsia="Calibri" w:hAnsi="Cambria"/>
          <w:i/>
          <w:iCs/>
          <w:u w:val="single"/>
        </w:rPr>
        <w:t>—</w:t>
      </w:r>
      <w:r>
        <w:rPr>
          <w:u w:val="single"/>
        </w:rPr>
        <w:t xml:space="preserve"> means computer software, prewritten computer software access services </w:t>
      </w:r>
      <w:r w:rsidR="00A01234">
        <w:rPr>
          <w:u w:val="single"/>
        </w:rPr>
        <w:t>or</w:t>
      </w:r>
      <w:r>
        <w:rPr>
          <w:u w:val="single"/>
        </w:rPr>
        <w:t xml:space="preserve"> information services.</w:t>
      </w:r>
    </w:p>
    <w:p w14:paraId="026E4E86" w14:textId="77777777" w:rsidR="00F76441" w:rsidRPr="00D461D1" w:rsidRDefault="00F76441" w:rsidP="00F34C02">
      <w:pPr>
        <w:pStyle w:val="Default"/>
        <w:jc w:val="both"/>
        <w:rPr>
          <w:u w:val="single"/>
        </w:rPr>
      </w:pPr>
      <w:r w:rsidRPr="00D461D1">
        <w:rPr>
          <w:i/>
          <w:iCs/>
          <w:u w:val="single"/>
        </w:rPr>
        <w:t>Licensed Healthcare Facilities and Providers</w:t>
      </w:r>
      <w:r>
        <w:rPr>
          <w:u w:val="single"/>
        </w:rPr>
        <w:t xml:space="preserve"> </w:t>
      </w:r>
      <w:r w:rsidR="00297F39" w:rsidRPr="00F32161">
        <w:rPr>
          <w:rFonts w:ascii="Cambria" w:eastAsia="Calibri" w:hAnsi="Cambria"/>
          <w:i/>
          <w:iCs/>
          <w:u w:val="single"/>
        </w:rPr>
        <w:t>—</w:t>
      </w:r>
      <w:r>
        <w:rPr>
          <w:u w:val="single"/>
        </w:rPr>
        <w:t xml:space="preserve"> means healthcare institutions and individual practitioners that are licensed by </w:t>
      </w:r>
      <w:proofErr w:type="gramStart"/>
      <w:r>
        <w:rPr>
          <w:u w:val="single"/>
        </w:rPr>
        <w:t>Louisiana</w:t>
      </w:r>
      <w:proofErr w:type="gramEnd"/>
      <w:r>
        <w:rPr>
          <w:u w:val="single"/>
        </w:rPr>
        <w:t xml:space="preserve"> Department of Health and</w:t>
      </w:r>
      <w:r w:rsidR="00A01234">
        <w:rPr>
          <w:u w:val="single"/>
        </w:rPr>
        <w:t xml:space="preserve"> </w:t>
      </w:r>
      <w:r>
        <w:rPr>
          <w:u w:val="single"/>
        </w:rPr>
        <w:t xml:space="preserve">or </w:t>
      </w:r>
      <w:proofErr w:type="gramStart"/>
      <w:r>
        <w:rPr>
          <w:u w:val="single"/>
        </w:rPr>
        <w:t>Louisiana</w:t>
      </w:r>
      <w:proofErr w:type="gramEnd"/>
      <w:r>
        <w:rPr>
          <w:u w:val="single"/>
        </w:rPr>
        <w:t xml:space="preserve"> State Board of Medical Examiners to deliver medical, dental, behavioral health, or related clinical services to patients.  The term includes, but is not limited to, hospitals, clinics, nursing homes, ambulatory surgical centers, rehabilitation facilities, pharmacies, physicians, nurses, dentists, therapists, and other professionals or entities required by law to hold a valid license, certification, or registration to provide healthcare services.</w:t>
      </w:r>
    </w:p>
    <w:p w14:paraId="5CC71F0E" w14:textId="77777777" w:rsidR="00EF5613" w:rsidRPr="001866C0" w:rsidRDefault="0043452F" w:rsidP="00F34C02">
      <w:pPr>
        <w:pStyle w:val="Default"/>
        <w:jc w:val="both"/>
        <w:rPr>
          <w:u w:val="single"/>
        </w:rPr>
      </w:pPr>
      <w:r w:rsidRPr="00D461D1">
        <w:rPr>
          <w:rFonts w:ascii="Cambria" w:eastAsia="Calibri" w:hAnsi="Cambria"/>
          <w:i/>
          <w:iCs/>
          <w:u w:val="single"/>
        </w:rPr>
        <w:t xml:space="preserve">Used </w:t>
      </w:r>
      <w:r w:rsidR="008C1B3F">
        <w:rPr>
          <w:rFonts w:ascii="Cambria" w:eastAsia="Calibri" w:hAnsi="Cambria"/>
          <w:i/>
          <w:iCs/>
          <w:u w:val="single"/>
        </w:rPr>
        <w:t xml:space="preserve">by the business </w:t>
      </w:r>
      <w:r w:rsidRPr="00D461D1">
        <w:rPr>
          <w:rFonts w:ascii="Cambria" w:eastAsia="Calibri" w:hAnsi="Cambria"/>
          <w:i/>
          <w:iCs/>
          <w:u w:val="single"/>
        </w:rPr>
        <w:t>directly</w:t>
      </w:r>
      <w:r w:rsidR="008C1B3F">
        <w:rPr>
          <w:rFonts w:ascii="Cambria" w:eastAsia="Calibri" w:hAnsi="Cambria"/>
          <w:i/>
          <w:iCs/>
          <w:u w:val="single"/>
        </w:rPr>
        <w:t xml:space="preserve"> in the production of goods and services </w:t>
      </w:r>
      <w:r w:rsidRPr="001866C0">
        <w:rPr>
          <w:rFonts w:ascii="Cambria" w:eastAsia="Calibri" w:hAnsi="Cambria"/>
          <w:i/>
          <w:iCs/>
          <w:u w:val="single"/>
        </w:rPr>
        <w:t>—</w:t>
      </w:r>
      <w:r w:rsidRPr="001866C0">
        <w:rPr>
          <w:u w:val="single"/>
        </w:rPr>
        <w:t xml:space="preserve"> means the direct application or incorporation of a digital tool into the creation, development or production of a final product or service for sale to a customer.</w:t>
      </w:r>
      <w:r w:rsidR="003B67BE" w:rsidRPr="001866C0">
        <w:rPr>
          <w:u w:val="single"/>
        </w:rPr>
        <w:t xml:space="preserve">   </w:t>
      </w:r>
      <w:r w:rsidR="00EF5613" w:rsidRPr="001866C0">
        <w:rPr>
          <w:u w:val="single"/>
        </w:rPr>
        <w:t xml:space="preserve">  </w:t>
      </w:r>
    </w:p>
    <w:p w14:paraId="5DFF34A7" w14:textId="77777777" w:rsidR="00D35EBE" w:rsidRDefault="00297F39" w:rsidP="00F34C02">
      <w:pPr>
        <w:pStyle w:val="Default"/>
        <w:jc w:val="both"/>
        <w:rPr>
          <w:u w:val="single"/>
        </w:rPr>
      </w:pPr>
      <w:r>
        <w:rPr>
          <w:u w:val="single"/>
        </w:rPr>
        <w:t>C</w:t>
      </w:r>
      <w:r w:rsidR="007D16F0" w:rsidRPr="00D461D1">
        <w:rPr>
          <w:u w:val="single"/>
        </w:rPr>
        <w:t>.</w:t>
      </w:r>
      <w:r w:rsidR="007D16F0" w:rsidRPr="00D461D1">
        <w:rPr>
          <w:u w:val="single"/>
        </w:rPr>
        <w:tab/>
      </w:r>
      <w:r w:rsidR="00D35EBE">
        <w:rPr>
          <w:u w:val="single"/>
        </w:rPr>
        <w:t>Commercial Production Exemption (R.S. 47:305.12(A))</w:t>
      </w:r>
    </w:p>
    <w:p w14:paraId="2293CFF9" w14:textId="77777777" w:rsidR="007D16F0" w:rsidRPr="00D461D1" w:rsidRDefault="00D35EBE" w:rsidP="00CA6856">
      <w:pPr>
        <w:pStyle w:val="Default"/>
        <w:jc w:val="both"/>
        <w:rPr>
          <w:u w:val="single"/>
        </w:rPr>
      </w:pPr>
      <w:r>
        <w:rPr>
          <w:u w:val="single"/>
        </w:rPr>
        <w:t>1.</w:t>
      </w:r>
      <w:r>
        <w:rPr>
          <w:u w:val="single"/>
        </w:rPr>
        <w:tab/>
      </w:r>
      <w:r w:rsidR="0043452F" w:rsidRPr="00D461D1">
        <w:rPr>
          <w:u w:val="single"/>
        </w:rPr>
        <w:t>A digital tool is used directly when it is an essential component and directly contributes to the creation, production process, or functioning of the final product or service, and is not merely supportive, administrative, or ancillary in nature. This excludes tools used for business management, planning, communication, or analysis that do not directly transform inputs into salable goods or services.</w:t>
      </w:r>
      <w:r w:rsidR="0043452F" w:rsidRPr="00D461D1" w:rsidDel="0043452F">
        <w:rPr>
          <w:u w:val="single"/>
        </w:rPr>
        <w:t xml:space="preserve"> </w:t>
      </w:r>
    </w:p>
    <w:p w14:paraId="1B9E4D1D" w14:textId="77777777" w:rsidR="0043452F" w:rsidRPr="00D461D1" w:rsidRDefault="00CA6856" w:rsidP="00F34C02">
      <w:pPr>
        <w:pStyle w:val="Default"/>
        <w:jc w:val="both"/>
        <w:rPr>
          <w:u w:val="single"/>
        </w:rPr>
      </w:pPr>
      <w:r>
        <w:rPr>
          <w:u w:val="single"/>
        </w:rPr>
        <w:t>2</w:t>
      </w:r>
      <w:r w:rsidR="007D16F0" w:rsidRPr="00D461D1">
        <w:rPr>
          <w:u w:val="single"/>
        </w:rPr>
        <w:t>.</w:t>
      </w:r>
      <w:r w:rsidR="007D16F0" w:rsidRPr="00D461D1">
        <w:rPr>
          <w:u w:val="single"/>
        </w:rPr>
        <w:tab/>
      </w:r>
      <w:r w:rsidR="00867C87" w:rsidRPr="00D461D1">
        <w:rPr>
          <w:u w:val="single"/>
        </w:rPr>
        <w:t>Digital tools used to manage business operations—such as organizing workers, materials, or equipment—are not used directly and are not exempt from tax.</w:t>
      </w:r>
    </w:p>
    <w:p w14:paraId="23011A38" w14:textId="77777777" w:rsidR="007D16F0" w:rsidRPr="00D461D1" w:rsidRDefault="00CA6856" w:rsidP="00F34C02">
      <w:pPr>
        <w:pStyle w:val="Default"/>
        <w:jc w:val="both"/>
        <w:rPr>
          <w:u w:val="single"/>
        </w:rPr>
      </w:pPr>
      <w:r>
        <w:rPr>
          <w:u w:val="single"/>
        </w:rPr>
        <w:t>3</w:t>
      </w:r>
      <w:r w:rsidR="0043452F" w:rsidRPr="00D461D1">
        <w:rPr>
          <w:u w:val="single"/>
        </w:rPr>
        <w:t>.</w:t>
      </w:r>
      <w:r w:rsidR="0043452F" w:rsidRPr="00D461D1">
        <w:rPr>
          <w:u w:val="single"/>
        </w:rPr>
        <w:tab/>
      </w:r>
      <w:r w:rsidR="00867C87" w:rsidRPr="00D461D1">
        <w:rPr>
          <w:u w:val="single"/>
        </w:rPr>
        <w:t>Digital tools that improve efficiency or productivity, such as project management, inventory, accounting, performance tracking, or communication software, are also not used directly and</w:t>
      </w:r>
      <w:r w:rsidR="00C8379E" w:rsidRPr="00D461D1">
        <w:rPr>
          <w:u w:val="single"/>
        </w:rPr>
        <w:t xml:space="preserve"> are not exempt from tax</w:t>
      </w:r>
      <w:r w:rsidR="00867C87" w:rsidRPr="00D461D1">
        <w:rPr>
          <w:u w:val="single"/>
        </w:rPr>
        <w:t>.</w:t>
      </w:r>
    </w:p>
    <w:p w14:paraId="7C579129" w14:textId="77777777" w:rsidR="00DF5B6C" w:rsidRPr="00C206D9" w:rsidRDefault="00297F39" w:rsidP="00C206D9">
      <w:pPr>
        <w:pStyle w:val="bullets"/>
        <w:numPr>
          <w:ilvl w:val="0"/>
          <w:numId w:val="0"/>
        </w:numPr>
        <w:spacing w:line="240" w:lineRule="auto"/>
        <w:rPr>
          <w:rFonts w:ascii="Times New Roman" w:hAnsi="Times New Roman"/>
          <w:u w:val="single"/>
        </w:rPr>
      </w:pPr>
      <w:r>
        <w:rPr>
          <w:rFonts w:ascii="Times New Roman" w:hAnsi="Times New Roman"/>
          <w:u w:val="single"/>
        </w:rPr>
        <w:t>D</w:t>
      </w:r>
      <w:r w:rsidR="00DF5B6C" w:rsidRPr="00C206D9">
        <w:rPr>
          <w:rFonts w:ascii="Times New Roman" w:hAnsi="Times New Roman"/>
          <w:u w:val="single"/>
        </w:rPr>
        <w:t>.</w:t>
      </w:r>
      <w:r w:rsidR="00DF5B6C" w:rsidRPr="00C206D9">
        <w:rPr>
          <w:rFonts w:ascii="Times New Roman" w:hAnsi="Times New Roman"/>
          <w:u w:val="single"/>
        </w:rPr>
        <w:tab/>
      </w:r>
      <w:r w:rsidR="006A0E5E" w:rsidRPr="00C206D9">
        <w:rPr>
          <w:rFonts w:ascii="Times New Roman" w:hAnsi="Times New Roman"/>
          <w:u w:val="single"/>
        </w:rPr>
        <w:t>Self-Created</w:t>
      </w:r>
      <w:r w:rsidR="00DF5B6C" w:rsidRPr="00C206D9">
        <w:rPr>
          <w:rFonts w:ascii="Times New Roman" w:hAnsi="Times New Roman"/>
          <w:u w:val="single"/>
        </w:rPr>
        <w:t xml:space="preserve"> Digital Product</w:t>
      </w:r>
      <w:r w:rsidR="00E927CF" w:rsidRPr="00C206D9">
        <w:rPr>
          <w:rFonts w:ascii="Times New Roman" w:hAnsi="Times New Roman"/>
          <w:u w:val="single"/>
        </w:rPr>
        <w:t>s Exemption</w:t>
      </w:r>
      <w:r w:rsidR="00D35EBE">
        <w:rPr>
          <w:rFonts w:ascii="Times New Roman" w:hAnsi="Times New Roman"/>
          <w:u w:val="single"/>
        </w:rPr>
        <w:t xml:space="preserve"> (R.S. 47:305.12(B))</w:t>
      </w:r>
    </w:p>
    <w:p w14:paraId="4668C249" w14:textId="77777777" w:rsidR="006A0E5E" w:rsidRPr="00C206D9" w:rsidRDefault="006A0E5E" w:rsidP="00C206D9">
      <w:pPr>
        <w:pStyle w:val="bullets"/>
        <w:numPr>
          <w:ilvl w:val="0"/>
          <w:numId w:val="0"/>
        </w:numPr>
        <w:spacing w:line="240" w:lineRule="auto"/>
        <w:rPr>
          <w:rFonts w:ascii="Times New Roman" w:hAnsi="Times New Roman"/>
          <w:u w:val="single"/>
        </w:rPr>
      </w:pPr>
      <w:r w:rsidRPr="00C206D9">
        <w:rPr>
          <w:rFonts w:ascii="Times New Roman" w:hAnsi="Times New Roman"/>
          <w:u w:val="single"/>
        </w:rPr>
        <w:t>1.</w:t>
      </w:r>
      <w:r w:rsidRPr="00C206D9">
        <w:rPr>
          <w:rFonts w:ascii="Times New Roman" w:hAnsi="Times New Roman"/>
          <w:u w:val="single"/>
        </w:rPr>
        <w:tab/>
      </w:r>
      <w:r w:rsidR="00DF5B6C" w:rsidRPr="00C206D9">
        <w:rPr>
          <w:rFonts w:ascii="Times New Roman" w:hAnsi="Times New Roman"/>
          <w:u w:val="single"/>
        </w:rPr>
        <w:t xml:space="preserve">Examples of digital products created solely for the business needs of the person who created them and are not the </w:t>
      </w:r>
      <w:r w:rsidR="001618FD" w:rsidRPr="001618FD">
        <w:rPr>
          <w:rFonts w:ascii="Times New Roman" w:hAnsi="Times New Roman"/>
          <w:u w:val="single"/>
        </w:rPr>
        <w:t>type of</w:t>
      </w:r>
      <w:r w:rsidR="00DF5B6C" w:rsidRPr="00C206D9">
        <w:rPr>
          <w:rFonts w:ascii="Times New Roman" w:hAnsi="Times New Roman"/>
          <w:u w:val="single"/>
        </w:rPr>
        <w:t xml:space="preserve"> digital products that are offered for sale by that </w:t>
      </w:r>
      <w:r w:rsidR="001866C0" w:rsidRPr="00C206D9">
        <w:rPr>
          <w:rFonts w:ascii="Times New Roman" w:hAnsi="Times New Roman"/>
          <w:u w:val="single"/>
        </w:rPr>
        <w:t>person,</w:t>
      </w:r>
      <w:r w:rsidR="00DF5B6C" w:rsidRPr="00C206D9">
        <w:rPr>
          <w:rFonts w:ascii="Times New Roman" w:hAnsi="Times New Roman"/>
          <w:u w:val="single"/>
        </w:rPr>
        <w:t xml:space="preserve"> </w:t>
      </w:r>
      <w:proofErr w:type="gramStart"/>
      <w:r w:rsidR="00DF5B6C" w:rsidRPr="00C206D9">
        <w:rPr>
          <w:rFonts w:ascii="Times New Roman" w:hAnsi="Times New Roman"/>
          <w:u w:val="single"/>
        </w:rPr>
        <w:t>include</w:t>
      </w:r>
      <w:proofErr w:type="gramEnd"/>
      <w:r w:rsidR="00DF5B6C" w:rsidRPr="00C206D9">
        <w:rPr>
          <w:rFonts w:ascii="Times New Roman" w:hAnsi="Times New Roman"/>
          <w:u w:val="single"/>
        </w:rPr>
        <w:t xml:space="preserve"> a</w:t>
      </w:r>
      <w:r w:rsidRPr="00C206D9">
        <w:rPr>
          <w:rFonts w:ascii="Times New Roman" w:hAnsi="Times New Roman"/>
          <w:u w:val="single"/>
        </w:rPr>
        <w:t>n in</w:t>
      </w:r>
      <w:r w:rsidR="00896C1A" w:rsidRPr="00C206D9">
        <w:rPr>
          <w:rFonts w:ascii="Times New Roman" w:hAnsi="Times New Roman"/>
          <w:u w:val="single"/>
        </w:rPr>
        <w:t>-</w:t>
      </w:r>
      <w:r w:rsidRPr="00C206D9">
        <w:rPr>
          <w:rFonts w:ascii="Times New Roman" w:hAnsi="Times New Roman"/>
          <w:u w:val="single"/>
        </w:rPr>
        <w:t>house</w:t>
      </w:r>
      <w:r w:rsidR="00896C1A" w:rsidRPr="00C206D9">
        <w:rPr>
          <w:rFonts w:ascii="Times New Roman" w:hAnsi="Times New Roman"/>
          <w:u w:val="single"/>
        </w:rPr>
        <w:t xml:space="preserve"> </w:t>
      </w:r>
      <w:r w:rsidR="00DF5B6C" w:rsidRPr="00C206D9">
        <w:rPr>
          <w:rFonts w:ascii="Times New Roman" w:hAnsi="Times New Roman"/>
          <w:u w:val="single"/>
        </w:rPr>
        <w:t>workflow automation too</w:t>
      </w:r>
      <w:r w:rsidRPr="00C206D9">
        <w:rPr>
          <w:rFonts w:ascii="Times New Roman" w:hAnsi="Times New Roman"/>
          <w:u w:val="single"/>
        </w:rPr>
        <w:t xml:space="preserve">l, a proprietary content management </w:t>
      </w:r>
      <w:r w:rsidR="00896C1A" w:rsidRPr="00C206D9">
        <w:rPr>
          <w:rFonts w:ascii="Times New Roman" w:hAnsi="Times New Roman"/>
          <w:u w:val="single"/>
        </w:rPr>
        <w:t>system</w:t>
      </w:r>
      <w:r w:rsidRPr="00C206D9">
        <w:rPr>
          <w:rFonts w:ascii="Times New Roman" w:hAnsi="Times New Roman"/>
          <w:u w:val="single"/>
        </w:rPr>
        <w:t xml:space="preserve">, </w:t>
      </w:r>
      <w:r w:rsidR="00896C1A" w:rsidRPr="00C206D9">
        <w:rPr>
          <w:rFonts w:ascii="Times New Roman" w:hAnsi="Times New Roman"/>
          <w:u w:val="single"/>
        </w:rPr>
        <w:t xml:space="preserve">an </w:t>
      </w:r>
      <w:r w:rsidRPr="00C206D9">
        <w:rPr>
          <w:rFonts w:ascii="Times New Roman" w:hAnsi="Times New Roman"/>
          <w:u w:val="single"/>
        </w:rPr>
        <w:t>internal brand style guide, and in</w:t>
      </w:r>
      <w:r w:rsidR="00896C1A" w:rsidRPr="00C206D9">
        <w:rPr>
          <w:rFonts w:ascii="Times New Roman" w:hAnsi="Times New Roman"/>
          <w:u w:val="single"/>
        </w:rPr>
        <w:t>-</w:t>
      </w:r>
      <w:r w:rsidRPr="00C206D9">
        <w:rPr>
          <w:rFonts w:ascii="Times New Roman" w:hAnsi="Times New Roman"/>
          <w:u w:val="single"/>
        </w:rPr>
        <w:t xml:space="preserve">house training videos.  </w:t>
      </w:r>
    </w:p>
    <w:p w14:paraId="3BF2560B" w14:textId="77777777" w:rsidR="00DF5B6C" w:rsidRPr="00C206D9" w:rsidRDefault="006A0E5E" w:rsidP="00C206D9">
      <w:pPr>
        <w:pStyle w:val="bullets"/>
        <w:numPr>
          <w:ilvl w:val="0"/>
          <w:numId w:val="0"/>
        </w:numPr>
        <w:spacing w:line="240" w:lineRule="auto"/>
        <w:rPr>
          <w:rFonts w:ascii="Times New Roman" w:hAnsi="Times New Roman"/>
          <w:u w:val="single"/>
        </w:rPr>
      </w:pPr>
      <w:r w:rsidRPr="00C206D9">
        <w:rPr>
          <w:rFonts w:ascii="Times New Roman" w:hAnsi="Times New Roman"/>
          <w:u w:val="single"/>
        </w:rPr>
        <w:t>2.</w:t>
      </w:r>
      <w:r w:rsidRPr="00C206D9">
        <w:rPr>
          <w:rFonts w:ascii="Times New Roman" w:hAnsi="Times New Roman"/>
          <w:u w:val="single"/>
        </w:rPr>
        <w:tab/>
        <w:t>If digital tools are used to create such digital products, sales or use tax</w:t>
      </w:r>
      <w:r w:rsidR="00335220">
        <w:rPr>
          <w:rFonts w:ascii="Times New Roman" w:hAnsi="Times New Roman"/>
          <w:u w:val="single"/>
        </w:rPr>
        <w:t xml:space="preserve"> will</w:t>
      </w:r>
      <w:r w:rsidRPr="00C206D9">
        <w:rPr>
          <w:rFonts w:ascii="Times New Roman" w:hAnsi="Times New Roman"/>
          <w:u w:val="single"/>
        </w:rPr>
        <w:t xml:space="preserve"> be owed on those digital tools.  For example, if Company A purchases </w:t>
      </w:r>
      <w:r w:rsidR="00896C1A" w:rsidRPr="00C206D9">
        <w:rPr>
          <w:rFonts w:ascii="Times New Roman" w:hAnsi="Times New Roman"/>
          <w:u w:val="single"/>
        </w:rPr>
        <w:t>prewritten computer software access services</w:t>
      </w:r>
      <w:r w:rsidRPr="00C206D9">
        <w:rPr>
          <w:rFonts w:ascii="Times New Roman" w:hAnsi="Times New Roman"/>
          <w:u w:val="single"/>
        </w:rPr>
        <w:t xml:space="preserve"> that it uses to create a training video for new employees, the training video </w:t>
      </w:r>
      <w:r w:rsidR="00896C1A" w:rsidRPr="00C206D9">
        <w:rPr>
          <w:rFonts w:ascii="Times New Roman" w:hAnsi="Times New Roman"/>
          <w:u w:val="single"/>
        </w:rPr>
        <w:t xml:space="preserve">itself </w:t>
      </w:r>
      <w:r w:rsidRPr="00C206D9">
        <w:rPr>
          <w:rFonts w:ascii="Times New Roman" w:hAnsi="Times New Roman"/>
          <w:u w:val="single"/>
        </w:rPr>
        <w:t>is not taxable</w:t>
      </w:r>
      <w:r w:rsidR="00896C1A" w:rsidRPr="00C206D9">
        <w:rPr>
          <w:rFonts w:ascii="Times New Roman" w:hAnsi="Times New Roman"/>
          <w:u w:val="single"/>
        </w:rPr>
        <w:t>.  H</w:t>
      </w:r>
      <w:r w:rsidRPr="00C206D9">
        <w:rPr>
          <w:rFonts w:ascii="Times New Roman" w:hAnsi="Times New Roman"/>
          <w:u w:val="single"/>
        </w:rPr>
        <w:t>owever</w:t>
      </w:r>
      <w:r w:rsidR="00896C1A" w:rsidRPr="00C206D9">
        <w:rPr>
          <w:rFonts w:ascii="Times New Roman" w:hAnsi="Times New Roman"/>
          <w:u w:val="single"/>
        </w:rPr>
        <w:t>,</w:t>
      </w:r>
      <w:r w:rsidRPr="00C206D9">
        <w:rPr>
          <w:rFonts w:ascii="Times New Roman" w:hAnsi="Times New Roman"/>
          <w:u w:val="single"/>
        </w:rPr>
        <w:t xml:space="preserve"> the purchase of the </w:t>
      </w:r>
      <w:r w:rsidR="00896C1A" w:rsidRPr="00C206D9">
        <w:rPr>
          <w:rFonts w:ascii="Times New Roman" w:hAnsi="Times New Roman"/>
          <w:u w:val="single"/>
        </w:rPr>
        <w:t>prewritten computer software access services</w:t>
      </w:r>
      <w:r w:rsidRPr="00C206D9">
        <w:rPr>
          <w:rFonts w:ascii="Times New Roman" w:hAnsi="Times New Roman"/>
          <w:u w:val="single"/>
        </w:rPr>
        <w:t xml:space="preserve"> is taxable.</w:t>
      </w:r>
    </w:p>
    <w:p w14:paraId="5ADBB092" w14:textId="77777777" w:rsidR="00F34102" w:rsidRPr="0051477B" w:rsidRDefault="00F34102" w:rsidP="00F34C02">
      <w:pPr>
        <w:pStyle w:val="Default"/>
        <w:jc w:val="both"/>
      </w:pPr>
    </w:p>
    <w:p w14:paraId="3911C34E" w14:textId="77777777" w:rsidR="00435D27" w:rsidRPr="00435D27" w:rsidRDefault="00435D27" w:rsidP="00F34C02">
      <w:pPr>
        <w:pStyle w:val="Default"/>
        <w:jc w:val="both"/>
      </w:pPr>
      <w:r w:rsidRPr="00435D27">
        <w:t>AUTHORITY NOTE:</w:t>
      </w:r>
      <w:r>
        <w:t xml:space="preserve"> </w:t>
      </w:r>
      <w:r w:rsidRPr="00435D27">
        <w:t>Promulgated in accordance with R.S. 47:1511.</w:t>
      </w:r>
    </w:p>
    <w:p w14:paraId="797E613F" w14:textId="77777777" w:rsidR="00EF5613" w:rsidRPr="00435D27" w:rsidRDefault="00435D27" w:rsidP="00F34C02">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sidRPr="00435D27">
        <w:rPr>
          <w:sz w:val="24"/>
          <w:szCs w:val="24"/>
        </w:rPr>
        <w:t>HISTORICAL NOTE:</w:t>
      </w:r>
      <w:r>
        <w:rPr>
          <w:sz w:val="24"/>
          <w:szCs w:val="24"/>
        </w:rPr>
        <w:t xml:space="preserve"> </w:t>
      </w:r>
      <w:r w:rsidRPr="00435D27">
        <w:rPr>
          <w:sz w:val="24"/>
          <w:szCs w:val="24"/>
        </w:rPr>
        <w:t xml:space="preserve">Promulgated by the Department of Revenue and Taxation, Tax </w:t>
      </w:r>
      <w:r w:rsidR="00B16ABE">
        <w:rPr>
          <w:sz w:val="24"/>
          <w:szCs w:val="24"/>
        </w:rPr>
        <w:t>Policy and Planning Division</w:t>
      </w:r>
      <w:r w:rsidRPr="00435D27">
        <w:rPr>
          <w:sz w:val="24"/>
          <w:szCs w:val="24"/>
        </w:rPr>
        <w:t xml:space="preserve">, LR </w:t>
      </w:r>
      <w:r w:rsidR="00B16ABE">
        <w:rPr>
          <w:sz w:val="24"/>
          <w:szCs w:val="24"/>
        </w:rPr>
        <w:t>51:</w:t>
      </w:r>
    </w:p>
    <w:p w14:paraId="0065ACE5" w14:textId="77777777" w:rsidR="00EF5613" w:rsidRDefault="00EF5613" w:rsidP="00F34C02">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p>
    <w:p w14:paraId="57A67C2C" w14:textId="77777777" w:rsidR="00EF5613" w:rsidRPr="00FF41FD" w:rsidRDefault="00EF5613" w:rsidP="00F34C02">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p>
    <w:p w14:paraId="28F6798E" w14:textId="77777777" w:rsidR="001B3600" w:rsidRPr="00FF41FD" w:rsidRDefault="001B3600" w:rsidP="00F34C02">
      <w:pPr>
        <w:jc w:val="center"/>
        <w:rPr>
          <w:b/>
        </w:rPr>
      </w:pPr>
      <w:r w:rsidRPr="00FF41FD">
        <w:rPr>
          <w:b/>
        </w:rPr>
        <w:t>Family Impact Statement</w:t>
      </w:r>
    </w:p>
    <w:p w14:paraId="12A20F16" w14:textId="77777777" w:rsidR="00B16ABE" w:rsidRPr="007D36A6" w:rsidRDefault="00B16ABE" w:rsidP="00F34C02">
      <w:pPr>
        <w:jc w:val="both"/>
        <w:rPr>
          <w:rFonts w:eastAsia="Calibri"/>
          <w:color w:val="1F497D"/>
        </w:rPr>
      </w:pPr>
      <w:r w:rsidRPr="007D36A6">
        <w:rPr>
          <w:rFonts w:eastAsia="Calibri"/>
        </w:rPr>
        <w:t xml:space="preserve">The proposed </w:t>
      </w:r>
      <w:r>
        <w:rPr>
          <w:rFonts w:eastAsia="Calibri"/>
        </w:rPr>
        <w:t>Rule</w:t>
      </w:r>
      <w:r w:rsidRPr="007D36A6">
        <w:rPr>
          <w:rFonts w:eastAsia="Calibri"/>
        </w:rPr>
        <w:t xml:space="preserve"> </w:t>
      </w:r>
      <w:r>
        <w:rPr>
          <w:rFonts w:eastAsia="Calibri"/>
        </w:rPr>
        <w:t>has no</w:t>
      </w:r>
      <w:r w:rsidRPr="007D36A6">
        <w:rPr>
          <w:rFonts w:eastAsia="Calibri"/>
        </w:rPr>
        <w:t xml:space="preserve"> known or foreseeable impact on</w:t>
      </w:r>
      <w:r>
        <w:rPr>
          <w:rFonts w:eastAsia="Calibri"/>
        </w:rPr>
        <w:t xml:space="preserve"> any family as defined by R.S. 49:972(D) or on family formation, stability, and autonomy. Specifically, the implementation of this proposed Rule has no known or foreseeable effect on</w:t>
      </w:r>
      <w:r w:rsidRPr="007D36A6">
        <w:rPr>
          <w:rFonts w:eastAsia="Calibri"/>
        </w:rPr>
        <w:t>:</w:t>
      </w:r>
    </w:p>
    <w:p w14:paraId="6E2971F1" w14:textId="77777777" w:rsidR="00B16ABE" w:rsidRPr="007D36A6" w:rsidRDefault="00B16ABE" w:rsidP="00F34C02">
      <w:pPr>
        <w:jc w:val="both"/>
        <w:rPr>
          <w:rFonts w:eastAsia="Calibri"/>
        </w:rPr>
      </w:pPr>
      <w:r>
        <w:rPr>
          <w:rFonts w:eastAsia="Calibri"/>
        </w:rPr>
        <w:t xml:space="preserve">1. </w:t>
      </w:r>
      <w:r w:rsidRPr="007D36A6">
        <w:rPr>
          <w:rFonts w:eastAsia="Calibri"/>
        </w:rPr>
        <w:t>The stability of the family.</w:t>
      </w:r>
    </w:p>
    <w:p w14:paraId="4705182C" w14:textId="77777777" w:rsidR="00B16ABE" w:rsidRPr="007D36A6" w:rsidRDefault="00B16ABE" w:rsidP="00F34C02">
      <w:pPr>
        <w:jc w:val="both"/>
        <w:rPr>
          <w:rFonts w:eastAsia="Calibri"/>
        </w:rPr>
      </w:pPr>
      <w:r>
        <w:rPr>
          <w:rFonts w:eastAsia="Calibri"/>
        </w:rPr>
        <w:t xml:space="preserve">2. </w:t>
      </w:r>
      <w:r w:rsidRPr="007D36A6">
        <w:rPr>
          <w:rFonts w:eastAsia="Calibri"/>
        </w:rPr>
        <w:t>The authority and rights of parents regarding the education and supervision of their children.</w:t>
      </w:r>
    </w:p>
    <w:p w14:paraId="297D1FEF" w14:textId="77777777" w:rsidR="00B16ABE" w:rsidRPr="007D36A6" w:rsidRDefault="00B16ABE" w:rsidP="00F34C02">
      <w:pPr>
        <w:jc w:val="both"/>
        <w:rPr>
          <w:rFonts w:eastAsia="Calibri"/>
        </w:rPr>
      </w:pPr>
      <w:r>
        <w:rPr>
          <w:rFonts w:eastAsia="Calibri"/>
        </w:rPr>
        <w:t xml:space="preserve">3. </w:t>
      </w:r>
      <w:r w:rsidRPr="007D36A6">
        <w:rPr>
          <w:rFonts w:eastAsia="Calibri"/>
        </w:rPr>
        <w:t>The functioning of the family.</w:t>
      </w:r>
    </w:p>
    <w:p w14:paraId="403EE665" w14:textId="77777777" w:rsidR="00B16ABE" w:rsidRPr="007D36A6" w:rsidRDefault="00B16ABE" w:rsidP="00F34C02">
      <w:pPr>
        <w:jc w:val="both"/>
        <w:rPr>
          <w:rFonts w:eastAsia="Calibri"/>
        </w:rPr>
      </w:pPr>
      <w:r>
        <w:rPr>
          <w:rFonts w:eastAsia="Calibri"/>
        </w:rPr>
        <w:t xml:space="preserve">4. </w:t>
      </w:r>
      <w:r w:rsidRPr="007D36A6">
        <w:rPr>
          <w:rFonts w:eastAsia="Calibri"/>
        </w:rPr>
        <w:t>Family earnings and family budget.</w:t>
      </w:r>
    </w:p>
    <w:p w14:paraId="481990F9" w14:textId="77777777" w:rsidR="00B16ABE" w:rsidRPr="007D36A6" w:rsidRDefault="00B16ABE" w:rsidP="00F34C02">
      <w:pPr>
        <w:jc w:val="both"/>
        <w:rPr>
          <w:rFonts w:eastAsia="Calibri"/>
        </w:rPr>
      </w:pPr>
      <w:r w:rsidRPr="007D36A6">
        <w:rPr>
          <w:rFonts w:eastAsia="Calibri"/>
        </w:rPr>
        <w:t>4. The behavior and personal responsibility of children.</w:t>
      </w:r>
    </w:p>
    <w:p w14:paraId="17DB89F5" w14:textId="77777777" w:rsidR="001B3600" w:rsidRPr="007F3A5B" w:rsidRDefault="00B16ABE" w:rsidP="00F34C02">
      <w:pPr>
        <w:jc w:val="both"/>
        <w:rPr>
          <w:rFonts w:eastAsia="Calibri"/>
        </w:rPr>
      </w:pPr>
      <w:r w:rsidRPr="007D36A6">
        <w:rPr>
          <w:rFonts w:eastAsia="Calibri"/>
        </w:rPr>
        <w:t>5. The ability of the family or a local government to perform this function.</w:t>
      </w:r>
    </w:p>
    <w:p w14:paraId="5C484C40" w14:textId="77777777" w:rsidR="001B3600" w:rsidRPr="00FF41FD" w:rsidRDefault="001B3600" w:rsidP="00F34C02">
      <w:pPr>
        <w:jc w:val="center"/>
        <w:rPr>
          <w:b/>
        </w:rPr>
      </w:pPr>
      <w:r w:rsidRPr="00FF41FD">
        <w:rPr>
          <w:b/>
        </w:rPr>
        <w:t>Poverty Statement</w:t>
      </w:r>
    </w:p>
    <w:p w14:paraId="5CA221B1" w14:textId="77777777" w:rsidR="001B3600" w:rsidRPr="00FF41FD" w:rsidRDefault="008777B8" w:rsidP="00F34C02">
      <w:pPr>
        <w:jc w:val="both"/>
        <w:rPr>
          <w:bCs/>
        </w:rPr>
      </w:pPr>
      <w:r w:rsidRPr="00FF41FD">
        <w:rPr>
          <w:bCs/>
        </w:rPr>
        <w:t>These proposed amendments</w:t>
      </w:r>
      <w:r w:rsidR="001B3600" w:rsidRPr="00FF41FD">
        <w:rPr>
          <w:bCs/>
        </w:rPr>
        <w:t xml:space="preserve"> will have no impact on poverty as described in R.S. 49:973.</w:t>
      </w:r>
    </w:p>
    <w:p w14:paraId="52F37976" w14:textId="77777777" w:rsidR="001B3600" w:rsidRPr="00FF41FD" w:rsidRDefault="001B3600" w:rsidP="00F34C02">
      <w:pPr>
        <w:jc w:val="center"/>
        <w:rPr>
          <w:b/>
        </w:rPr>
      </w:pPr>
      <w:r w:rsidRPr="00FF41FD">
        <w:rPr>
          <w:b/>
        </w:rPr>
        <w:t>Small Business</w:t>
      </w:r>
      <w:r w:rsidR="009F10DB">
        <w:rPr>
          <w:b/>
        </w:rPr>
        <w:t xml:space="preserve"> </w:t>
      </w:r>
      <w:r w:rsidRPr="00FF41FD">
        <w:rPr>
          <w:b/>
        </w:rPr>
        <w:t>Analysis</w:t>
      </w:r>
    </w:p>
    <w:p w14:paraId="61878EDD" w14:textId="77777777" w:rsidR="001B3600" w:rsidRPr="007F3A5B" w:rsidRDefault="00B16ABE" w:rsidP="00F34C02">
      <w:pPr>
        <w:jc w:val="both"/>
        <w:rPr>
          <w:bCs/>
        </w:rPr>
      </w:pPr>
      <w:r w:rsidRPr="006B1857">
        <w:rPr>
          <w:bCs/>
        </w:rPr>
        <w:t xml:space="preserve">The proposed </w:t>
      </w:r>
      <w:r>
        <w:rPr>
          <w:bCs/>
        </w:rPr>
        <w:t>R</w:t>
      </w:r>
      <w:r w:rsidRPr="006B1857">
        <w:rPr>
          <w:bCs/>
        </w:rPr>
        <w:t>ule has no known measurable impact on small businesses as described in R.S. 49:</w:t>
      </w:r>
      <w:r w:rsidR="009F10DB">
        <w:rPr>
          <w:bCs/>
        </w:rPr>
        <w:t>974.</w:t>
      </w:r>
      <w:r w:rsidR="00A066E7">
        <w:rPr>
          <w:bCs/>
        </w:rPr>
        <w:t>4</w:t>
      </w:r>
      <w:r w:rsidRPr="006B1857">
        <w:rPr>
          <w:bCs/>
        </w:rPr>
        <w:t>.</w:t>
      </w:r>
    </w:p>
    <w:p w14:paraId="28809CD0" w14:textId="77777777" w:rsidR="001B3600" w:rsidRPr="00FF41FD" w:rsidRDefault="001B3600" w:rsidP="00F34C02">
      <w:pPr>
        <w:jc w:val="center"/>
        <w:rPr>
          <w:b/>
        </w:rPr>
      </w:pPr>
      <w:r w:rsidRPr="00FF41FD">
        <w:rPr>
          <w:b/>
        </w:rPr>
        <w:t>Provider Impact Statement</w:t>
      </w:r>
    </w:p>
    <w:p w14:paraId="690C99F2" w14:textId="77777777" w:rsidR="001B3600" w:rsidRPr="00FF41FD" w:rsidRDefault="001B3600" w:rsidP="00F34C02">
      <w:pPr>
        <w:jc w:val="both"/>
        <w:rPr>
          <w:bCs/>
        </w:rPr>
      </w:pPr>
      <w:r w:rsidRPr="00FF41FD">
        <w:rPr>
          <w:bCs/>
        </w:rPr>
        <w:t xml:space="preserve">The proposed </w:t>
      </w:r>
      <w:r w:rsidR="00B16ABE">
        <w:rPr>
          <w:bCs/>
        </w:rPr>
        <w:t>Rule has</w:t>
      </w:r>
      <w:r w:rsidRPr="00FF41FD">
        <w:rPr>
          <w:bCs/>
        </w:rPr>
        <w:t xml:space="preserve"> no known or foreseeable effect on:</w:t>
      </w:r>
    </w:p>
    <w:p w14:paraId="237AD692" w14:textId="77777777" w:rsidR="001B3600" w:rsidRPr="00FF41FD" w:rsidRDefault="001B3600" w:rsidP="00F34C02">
      <w:pPr>
        <w:autoSpaceDE w:val="0"/>
        <w:autoSpaceDN w:val="0"/>
        <w:adjustRightInd w:val="0"/>
        <w:jc w:val="both"/>
      </w:pPr>
      <w:r w:rsidRPr="00FF41FD">
        <w:rPr>
          <w:bCs/>
        </w:rPr>
        <w:t>1.</w:t>
      </w:r>
      <w:r w:rsidRPr="00FF41FD">
        <w:rPr>
          <w:bCs/>
        </w:rPr>
        <w:tab/>
        <w:t>The staffing levels requirements or qualifications</w:t>
      </w:r>
      <w:r w:rsidRPr="00FF41FD">
        <w:t xml:space="preserve"> required to provide the same level of service.</w:t>
      </w:r>
    </w:p>
    <w:p w14:paraId="3A8669F8" w14:textId="77777777" w:rsidR="001B3600" w:rsidRPr="00FF41FD" w:rsidRDefault="001B3600" w:rsidP="00F34C02">
      <w:pPr>
        <w:autoSpaceDE w:val="0"/>
        <w:autoSpaceDN w:val="0"/>
        <w:adjustRightInd w:val="0"/>
        <w:jc w:val="both"/>
      </w:pPr>
      <w:r w:rsidRPr="00FF41FD">
        <w:t>2.</w:t>
      </w:r>
      <w:r w:rsidRPr="00FF41FD">
        <w:tab/>
        <w:t>The total direct and indirect effect on the cost to the provider to provide the same level of service.</w:t>
      </w:r>
    </w:p>
    <w:p w14:paraId="519C1B25" w14:textId="77777777" w:rsidR="001B3600" w:rsidRPr="00FF41FD" w:rsidRDefault="001B3600" w:rsidP="00F34C02">
      <w:pPr>
        <w:autoSpaceDE w:val="0"/>
        <w:autoSpaceDN w:val="0"/>
        <w:adjustRightInd w:val="0"/>
        <w:jc w:val="both"/>
      </w:pPr>
      <w:r w:rsidRPr="00FF41FD">
        <w:t>3.</w:t>
      </w:r>
      <w:r w:rsidRPr="00FF41FD">
        <w:tab/>
        <w:t>The overall effect on the ability of the provider to provide the same level of service.</w:t>
      </w:r>
    </w:p>
    <w:p w14:paraId="6CCA424A" w14:textId="77777777" w:rsidR="002620E4" w:rsidRPr="0044397D" w:rsidRDefault="002620E4" w:rsidP="00F34C02">
      <w:pPr>
        <w:jc w:val="center"/>
        <w:rPr>
          <w:b/>
        </w:rPr>
      </w:pPr>
      <w:r w:rsidRPr="0044397D">
        <w:rPr>
          <w:b/>
        </w:rPr>
        <w:t>Public Comments</w:t>
      </w:r>
    </w:p>
    <w:p w14:paraId="265E07A5" w14:textId="77777777" w:rsidR="002620E4" w:rsidRPr="0044397D" w:rsidRDefault="002620E4" w:rsidP="00F34C02">
      <w:pPr>
        <w:jc w:val="both"/>
      </w:pPr>
      <w:r w:rsidRPr="0044397D">
        <w:t>Any interested person may submit written data, views, arguments or comments regarding these proposed amendments to</w:t>
      </w:r>
      <w:r w:rsidR="001A0C13" w:rsidRPr="0044397D">
        <w:t xml:space="preserve"> Dominique Bowers</w:t>
      </w:r>
      <w:r w:rsidRPr="0044397D">
        <w:t xml:space="preserve">, Attorney, Tax Policy and Planning Division, Office of Legal Affairs by mail to P.O. Box 44098, Baton Rouge, LA 70804-4098. All comments must be received no later than 4:30 p.m., </w:t>
      </w:r>
      <w:r w:rsidR="00371EA8">
        <w:t>January 28</w:t>
      </w:r>
      <w:r w:rsidRPr="0044397D">
        <w:t>, 202</w:t>
      </w:r>
      <w:r w:rsidR="003A2F9A">
        <w:t>6</w:t>
      </w:r>
      <w:r w:rsidRPr="0044397D">
        <w:t>.</w:t>
      </w:r>
    </w:p>
    <w:p w14:paraId="00581B0A" w14:textId="77777777" w:rsidR="002620E4" w:rsidRPr="0044397D" w:rsidRDefault="002620E4" w:rsidP="00F34C02">
      <w:pPr>
        <w:jc w:val="center"/>
        <w:rPr>
          <w:b/>
        </w:rPr>
      </w:pPr>
      <w:r w:rsidRPr="0044397D">
        <w:rPr>
          <w:b/>
        </w:rPr>
        <w:t>Public Hearing</w:t>
      </w:r>
    </w:p>
    <w:p w14:paraId="4F11F6CB" w14:textId="77777777" w:rsidR="00CD7288" w:rsidRDefault="002620E4" w:rsidP="00F34C02">
      <w:pPr>
        <w:jc w:val="both"/>
      </w:pPr>
      <w:r w:rsidRPr="0044397D">
        <w:rPr>
          <w:color w:val="242424"/>
          <w:spacing w:val="-1"/>
          <w:bdr w:val="none" w:sz="0" w:space="0" w:color="auto" w:frame="1"/>
          <w:shd w:val="clear" w:color="auto" w:fill="FFFFFF"/>
        </w:rPr>
        <w:t xml:space="preserve">Interested persons may submit a written request for a public hearing no later than </w:t>
      </w:r>
      <w:r w:rsidR="001A0C13" w:rsidRPr="0044397D">
        <w:rPr>
          <w:color w:val="242424"/>
          <w:spacing w:val="-1"/>
          <w:bdr w:val="none" w:sz="0" w:space="0" w:color="auto" w:frame="1"/>
          <w:shd w:val="clear" w:color="auto" w:fill="FFFFFF"/>
        </w:rPr>
        <w:t>January 1</w:t>
      </w:r>
      <w:r w:rsidRPr="0044397D">
        <w:rPr>
          <w:color w:val="242424"/>
          <w:spacing w:val="-1"/>
          <w:bdr w:val="none" w:sz="0" w:space="0" w:color="auto" w:frame="1"/>
          <w:shd w:val="clear" w:color="auto" w:fill="FFFFFF"/>
        </w:rPr>
        <w:t>0, 202</w:t>
      </w:r>
      <w:r w:rsidR="001A0C13" w:rsidRPr="0044397D">
        <w:rPr>
          <w:color w:val="242424"/>
          <w:spacing w:val="-1"/>
          <w:bdr w:val="none" w:sz="0" w:space="0" w:color="auto" w:frame="1"/>
          <w:shd w:val="clear" w:color="auto" w:fill="FFFFFF"/>
        </w:rPr>
        <w:t>6</w:t>
      </w:r>
      <w:r w:rsidRPr="0044397D">
        <w:rPr>
          <w:color w:val="242424"/>
          <w:spacing w:val="-1"/>
          <w:bdr w:val="none" w:sz="0" w:space="0" w:color="auto" w:frame="1"/>
          <w:shd w:val="clear" w:color="auto" w:fill="FFFFFF"/>
        </w:rPr>
        <w:t>, at 4:30 p.m. Requests may be submitted either by mail, addressed to</w:t>
      </w:r>
      <w:r w:rsidR="001A0C13" w:rsidRPr="0044397D">
        <w:rPr>
          <w:color w:val="242424"/>
          <w:spacing w:val="-1"/>
          <w:bdr w:val="none" w:sz="0" w:space="0" w:color="auto" w:frame="1"/>
          <w:shd w:val="clear" w:color="auto" w:fill="FFFFFF"/>
        </w:rPr>
        <w:t xml:space="preserve"> Dominique Bowers</w:t>
      </w:r>
      <w:r w:rsidRPr="0044397D">
        <w:rPr>
          <w:color w:val="242424"/>
          <w:spacing w:val="-1"/>
          <w:bdr w:val="none" w:sz="0" w:space="0" w:color="auto" w:frame="1"/>
          <w:shd w:val="clear" w:color="auto" w:fill="FFFFFF"/>
        </w:rPr>
        <w:t xml:space="preserve">, Attorney, </w:t>
      </w:r>
      <w:r w:rsidRPr="0044397D">
        <w:t>Tax Policy and Planning Division, Office of Legal Affairs, P.O. Box 44098, Baton Rouge, LA 70804-4098, or via email to</w:t>
      </w:r>
      <w:r w:rsidR="001A0C13" w:rsidRPr="0044397D">
        <w:t xml:space="preserve"> </w:t>
      </w:r>
      <w:r w:rsidR="00000E04">
        <w:t>stacey.greaud</w:t>
      </w:r>
      <w:r w:rsidR="001A0C13" w:rsidRPr="0044397D">
        <w:t>@la.gov</w:t>
      </w:r>
      <w:r w:rsidRPr="0044397D">
        <w:t xml:space="preserve"> and reference </w:t>
      </w:r>
      <w:r w:rsidR="001618FD">
        <w:t>Digital Tools</w:t>
      </w:r>
      <w:r w:rsidR="00D04CAB">
        <w:t xml:space="preserve"> </w:t>
      </w:r>
      <w:r w:rsidR="001A0C13" w:rsidRPr="0044397D">
        <w:t xml:space="preserve">Exemption </w:t>
      </w:r>
      <w:r w:rsidRPr="0044397D">
        <w:t xml:space="preserve">Comments. </w:t>
      </w:r>
    </w:p>
    <w:p w14:paraId="7F35B15F" w14:textId="77777777" w:rsidR="00CD7288" w:rsidRDefault="00CD7288" w:rsidP="00F34C02">
      <w:pPr>
        <w:jc w:val="both"/>
      </w:pPr>
    </w:p>
    <w:p w14:paraId="49E279C1" w14:textId="77777777" w:rsidR="00CD7288" w:rsidRPr="00CD7288" w:rsidRDefault="009F10DB" w:rsidP="00F34C02">
      <w:pPr>
        <w:jc w:val="both"/>
      </w:pPr>
      <w:r w:rsidRPr="00B14905">
        <w:rPr>
          <w:kern w:val="2"/>
          <w:lang w:eastAsia="x-none"/>
        </w:rPr>
        <w:t>Pursuant to R.S. 49:961(B)(1), a public hearing </w:t>
      </w:r>
      <w:r w:rsidRPr="009F10DB">
        <w:rPr>
          <w:kern w:val="2"/>
          <w:lang w:eastAsia="x-none"/>
        </w:rPr>
        <w:t>will be held only if</w:t>
      </w:r>
      <w:r w:rsidRPr="00B14905">
        <w:rPr>
          <w:kern w:val="2"/>
          <w:lang w:eastAsia="x-none"/>
        </w:rPr>
        <w:t> the statutory requirements are satisfied</w:t>
      </w:r>
      <w:r>
        <w:t xml:space="preserve">.  </w:t>
      </w:r>
      <w:r w:rsidR="002620E4" w:rsidRPr="0044397D">
        <w:t>If th</w:t>
      </w:r>
      <w:r>
        <w:t>ose requirements are met</w:t>
      </w:r>
      <w:r w:rsidR="002620E4" w:rsidRPr="0044397D">
        <w:t xml:space="preserve">, a public hearing will be held on </w:t>
      </w:r>
      <w:r w:rsidR="007F76E3">
        <w:t>January 29</w:t>
      </w:r>
      <w:r w:rsidR="001A0C13" w:rsidRPr="0044397D">
        <w:t>, 2026</w:t>
      </w:r>
      <w:r w:rsidR="002620E4" w:rsidRPr="0044397D">
        <w:t>, at</w:t>
      </w:r>
      <w:r w:rsidR="001A0C13" w:rsidRPr="0044397D">
        <w:t xml:space="preserve"> 10:00 a.m.</w:t>
      </w:r>
      <w:r w:rsidR="007F76E3">
        <w:t xml:space="preserve"> </w:t>
      </w:r>
      <w:r w:rsidR="002620E4" w:rsidRPr="0044397D">
        <w:t xml:space="preserve">in the </w:t>
      </w:r>
      <w:r w:rsidR="007F76E3">
        <w:t>Griffon</w:t>
      </w:r>
      <w:r w:rsidR="008777B8" w:rsidRPr="0044397D">
        <w:t xml:space="preserve"> Room</w:t>
      </w:r>
      <w:r w:rsidR="001A0C13" w:rsidRPr="0044397D">
        <w:t>,</w:t>
      </w:r>
      <w:r w:rsidR="002620E4" w:rsidRPr="0044397D">
        <w:t xml:space="preserve"> located on the </w:t>
      </w:r>
      <w:r w:rsidR="007F76E3">
        <w:t>1</w:t>
      </w:r>
      <w:r w:rsidR="007F76E3" w:rsidRPr="007F76E3">
        <w:rPr>
          <w:vertAlign w:val="superscript"/>
        </w:rPr>
        <w:t>st</w:t>
      </w:r>
      <w:r w:rsidR="007F76E3">
        <w:t xml:space="preserve"> </w:t>
      </w:r>
      <w:r w:rsidR="002620E4" w:rsidRPr="0044397D">
        <w:t xml:space="preserve">floor of the LaSalle Building, 617 North Third Street, Baton Rouge, La 70802, to </w:t>
      </w:r>
      <w:r>
        <w:t>receive</w:t>
      </w:r>
      <w:r w:rsidR="002620E4" w:rsidRPr="0044397D">
        <w:t xml:space="preserve"> oral </w:t>
      </w:r>
      <w:r>
        <w:t>and</w:t>
      </w:r>
      <w:r w:rsidR="002620E4" w:rsidRPr="0044397D">
        <w:t xml:space="preserve"> written comments</w:t>
      </w:r>
      <w:r>
        <w:t xml:space="preserve"> from interested </w:t>
      </w:r>
      <w:proofErr w:type="gramStart"/>
      <w:r>
        <w:t>persons</w:t>
      </w:r>
      <w:proofErr w:type="gramEnd"/>
      <w:r w:rsidR="002620E4" w:rsidRPr="0044397D">
        <w:t xml:space="preserve">. To </w:t>
      </w:r>
      <w:r>
        <w:t>determine</w:t>
      </w:r>
      <w:r w:rsidR="002620E4" w:rsidRPr="0044397D">
        <w:t xml:space="preserve"> whether </w:t>
      </w:r>
      <w:r>
        <w:t>a</w:t>
      </w:r>
      <w:r w:rsidR="002620E4" w:rsidRPr="0044397D">
        <w:t xml:space="preserve"> public hearing will</w:t>
      </w:r>
      <w:r w:rsidR="00BC0489" w:rsidRPr="0044397D">
        <w:t xml:space="preserve"> </w:t>
      </w:r>
      <w:r w:rsidR="002620E4" w:rsidRPr="0044397D">
        <w:t xml:space="preserve">be held, please visit the </w:t>
      </w:r>
      <w:r>
        <w:t>D</w:t>
      </w:r>
      <w:r w:rsidR="002620E4" w:rsidRPr="0044397D">
        <w:t xml:space="preserve">epartment’s website at: </w:t>
      </w:r>
      <w:hyperlink r:id="rId11" w:tooltip="https://revenue.louisiana.gov/tax-policy/rules-regulations" w:history="1">
        <w:r w:rsidR="00CD7288" w:rsidRPr="00B14905">
          <w:rPr>
            <w:rStyle w:val="Hyperlink"/>
            <w:kern w:val="2"/>
            <w:lang w:eastAsia="x-none"/>
          </w:rPr>
          <w:t>https://revenue.louisiana.gov/tax-policy/rules-regulations</w:t>
        </w:r>
      </w:hyperlink>
      <w:r w:rsidR="00CD7288">
        <w:t xml:space="preserve"> </w:t>
      </w:r>
      <w:r w:rsidR="002620E4" w:rsidRPr="0044397D">
        <w:t xml:space="preserve">and under “Types” select “Nonemergency Rulemaking.” </w:t>
      </w:r>
      <w:r w:rsidR="00CD7288">
        <w:t xml:space="preserve">  </w:t>
      </w:r>
      <w:r w:rsidR="00CD7288" w:rsidRPr="00644DA1">
        <w:rPr>
          <w:kern w:val="2"/>
          <w:lang w:eastAsia="x-none"/>
        </w:rPr>
        <w:t xml:space="preserve">A posted </w:t>
      </w:r>
      <w:proofErr w:type="gramStart"/>
      <w:r w:rsidR="00CD7288" w:rsidRPr="00644DA1">
        <w:rPr>
          <w:kern w:val="2"/>
          <w:lang w:eastAsia="x-none"/>
        </w:rPr>
        <w:t xml:space="preserve">notice </w:t>
      </w:r>
      <w:r w:rsidR="00CD7288">
        <w:rPr>
          <w:kern w:val="2"/>
          <w:lang w:eastAsia="x-none"/>
        </w:rPr>
        <w:t>of hearing</w:t>
      </w:r>
      <w:proofErr w:type="gramEnd"/>
      <w:r w:rsidR="00CD7288">
        <w:rPr>
          <w:kern w:val="2"/>
          <w:lang w:eastAsia="x-none"/>
        </w:rPr>
        <w:t xml:space="preserve"> </w:t>
      </w:r>
      <w:r w:rsidR="00CD7288" w:rsidRPr="00644DA1">
        <w:rPr>
          <w:kern w:val="2"/>
          <w:lang w:eastAsia="x-none"/>
        </w:rPr>
        <w:t>confirms that the statutory hearing requirements have been met and that the hearing will be held. If no notice appears, a public hearing will not be conducted.</w:t>
      </w:r>
    </w:p>
    <w:p w14:paraId="1065BEDA" w14:textId="77777777" w:rsidR="00CD7288" w:rsidRDefault="00CD7288" w:rsidP="00F34C02">
      <w:pPr>
        <w:jc w:val="both"/>
      </w:pPr>
    </w:p>
    <w:p w14:paraId="2A576D97" w14:textId="77777777" w:rsidR="002620E4" w:rsidRPr="00FF41FD" w:rsidRDefault="002620E4" w:rsidP="00F34C02">
      <w:pPr>
        <w:jc w:val="both"/>
      </w:pPr>
      <w:r w:rsidRPr="0044397D">
        <w:t xml:space="preserve">In accordance with the Americans with Disabilities Act, should individuals with a disability need an accommodation </w:t>
      </w:r>
      <w:r w:rsidR="00630410" w:rsidRPr="0044397D">
        <w:t>to</w:t>
      </w:r>
      <w:r w:rsidRPr="0044397D">
        <w:t xml:space="preserve"> participate, contact</w:t>
      </w:r>
      <w:r w:rsidR="001A0C13" w:rsidRPr="0044397D">
        <w:t xml:space="preserve"> Dominique Bowers </w:t>
      </w:r>
      <w:r w:rsidRPr="0044397D">
        <w:t>at the address given above in the Public Comments section, by email at LDRadarequests@la.gov or by phone at (225) 219-</w:t>
      </w:r>
      <w:r w:rsidR="001A0C13" w:rsidRPr="0044397D">
        <w:t>7027</w:t>
      </w:r>
      <w:r w:rsidRPr="0044397D">
        <w:t>.</w:t>
      </w:r>
    </w:p>
    <w:p w14:paraId="7713FCC3" w14:textId="77777777" w:rsidR="001A26EB" w:rsidRDefault="001A26EB" w:rsidP="00F34C02">
      <w:pPr>
        <w:jc w:val="both"/>
        <w:rPr>
          <w:rFonts w:ascii="Cambria" w:hAnsi="Cambria"/>
          <w:color w:val="242424"/>
          <w:spacing w:val="-1"/>
          <w:bdr w:val="none" w:sz="0" w:space="0" w:color="auto" w:frame="1"/>
          <w:shd w:val="clear" w:color="auto" w:fill="FFFFFF"/>
        </w:rPr>
      </w:pPr>
    </w:p>
    <w:p w14:paraId="54D4CCE9" w14:textId="77777777" w:rsidR="00AA4F5E" w:rsidRPr="00145ECA" w:rsidRDefault="00AA4F5E" w:rsidP="00F34C02">
      <w:pPr>
        <w:jc w:val="both"/>
        <w:rPr>
          <w:rFonts w:ascii="Cambria" w:hAnsi="Cambria"/>
        </w:rPr>
      </w:pPr>
      <w:r w:rsidRPr="00145ECA">
        <w:rPr>
          <w:rFonts w:ascii="Cambria" w:hAnsi="Cambria"/>
        </w:rPr>
        <w:t>Richard Nelson</w:t>
      </w:r>
    </w:p>
    <w:p w14:paraId="02C5DB18" w14:textId="77777777" w:rsidR="00AA4F5E" w:rsidRPr="00D86918" w:rsidRDefault="00AA4F5E" w:rsidP="00F34C02">
      <w:pPr>
        <w:jc w:val="both"/>
        <w:rPr>
          <w:rFonts w:ascii="Cambria" w:hAnsi="Cambria"/>
        </w:rPr>
      </w:pPr>
      <w:r w:rsidRPr="00145ECA">
        <w:rPr>
          <w:rFonts w:ascii="Cambria" w:hAnsi="Cambria"/>
        </w:rPr>
        <w:t>Secretary</w:t>
      </w:r>
    </w:p>
    <w:p w14:paraId="7B72D007" w14:textId="77777777" w:rsidR="000517D3" w:rsidRDefault="000517D3" w:rsidP="00C206D9">
      <w:pPr>
        <w:tabs>
          <w:tab w:val="left" w:pos="-38"/>
          <w:tab w:val="left" w:pos="682"/>
          <w:tab w:val="left" w:pos="1402"/>
          <w:tab w:val="left" w:pos="2122"/>
          <w:tab w:val="left" w:pos="2842"/>
          <w:tab w:val="left" w:pos="3562"/>
          <w:tab w:val="left" w:pos="4282"/>
          <w:tab w:val="left" w:pos="5002"/>
          <w:tab w:val="left" w:pos="5722"/>
          <w:tab w:val="left" w:pos="6442"/>
          <w:tab w:val="left" w:pos="7162"/>
          <w:tab w:val="left" w:pos="7882"/>
          <w:tab w:val="left" w:pos="8602"/>
          <w:tab w:val="left" w:pos="9322"/>
          <w:tab w:val="left" w:pos="10042"/>
        </w:tabs>
        <w:jc w:val="both"/>
        <w:rPr>
          <w:b/>
        </w:rPr>
      </w:pPr>
    </w:p>
    <w:p w14:paraId="7EA3921B" w14:textId="77777777" w:rsidR="000517D3" w:rsidRDefault="000517D3" w:rsidP="00C206D9">
      <w:pPr>
        <w:tabs>
          <w:tab w:val="left" w:pos="-38"/>
          <w:tab w:val="left" w:pos="682"/>
          <w:tab w:val="left" w:pos="1402"/>
          <w:tab w:val="left" w:pos="2122"/>
          <w:tab w:val="left" w:pos="2842"/>
          <w:tab w:val="left" w:pos="3562"/>
          <w:tab w:val="left" w:pos="4282"/>
          <w:tab w:val="left" w:pos="5002"/>
          <w:tab w:val="left" w:pos="5722"/>
          <w:tab w:val="left" w:pos="6442"/>
          <w:tab w:val="left" w:pos="7162"/>
          <w:tab w:val="left" w:pos="7882"/>
          <w:tab w:val="left" w:pos="8602"/>
          <w:tab w:val="left" w:pos="9322"/>
          <w:tab w:val="left" w:pos="10042"/>
        </w:tabs>
        <w:ind w:left="681"/>
        <w:jc w:val="both"/>
        <w:rPr>
          <w:b/>
        </w:rPr>
      </w:pPr>
    </w:p>
    <w:p w14:paraId="6429066D" w14:textId="77777777" w:rsidR="00B60E73" w:rsidRPr="00E61BE1" w:rsidRDefault="00B60E73" w:rsidP="00F34C02"/>
    <w:p w14:paraId="14E85DBD" w14:textId="77777777" w:rsidR="00B60E73" w:rsidRPr="00E61BE1" w:rsidRDefault="00B60E73" w:rsidP="00C206D9">
      <w:pPr>
        <w:keepNext/>
        <w:spacing w:after="160"/>
        <w:jc w:val="center"/>
        <w:rPr>
          <w:b/>
          <w:bCs/>
        </w:rPr>
      </w:pPr>
      <w:r w:rsidRPr="00E61BE1">
        <w:rPr>
          <w:b/>
          <w:bCs/>
        </w:rPr>
        <w:t>FISCAL AND ECONOMIC IMPACT STATEMENT</w:t>
      </w:r>
    </w:p>
    <w:p w14:paraId="3160E2D8" w14:textId="77777777" w:rsidR="00B60E73" w:rsidRPr="00E61BE1" w:rsidRDefault="00B60E73" w:rsidP="00C206D9">
      <w:pPr>
        <w:keepNext/>
        <w:spacing w:after="160"/>
        <w:jc w:val="center"/>
        <w:rPr>
          <w:b/>
          <w:bCs/>
        </w:rPr>
      </w:pPr>
      <w:r w:rsidRPr="00E61BE1">
        <w:rPr>
          <w:b/>
          <w:bCs/>
        </w:rPr>
        <w:t>FOR ADMINISTRATIVE RULES</w:t>
      </w:r>
    </w:p>
    <w:p w14:paraId="6CEB415F" w14:textId="77777777" w:rsidR="00B60E73" w:rsidRDefault="00B60E73" w:rsidP="00C206D9">
      <w:pPr>
        <w:spacing w:after="160"/>
        <w:ind w:firstLine="432"/>
        <w:rPr>
          <w:bCs/>
        </w:rPr>
      </w:pPr>
      <w:r w:rsidRPr="00E61BE1">
        <w:rPr>
          <w:bCs/>
        </w:rPr>
        <w:t>RULE TITLE</w:t>
      </w:r>
      <w:proofErr w:type="gramStart"/>
      <w:r w:rsidRPr="00E61BE1">
        <w:rPr>
          <w:bCs/>
        </w:rPr>
        <w:t xml:space="preserve">: </w:t>
      </w:r>
      <w:r w:rsidR="00C8379E">
        <w:rPr>
          <w:bCs/>
        </w:rPr>
        <w:tab/>
      </w:r>
      <w:r w:rsidR="001C4463" w:rsidRPr="00C206D9">
        <w:rPr>
          <w:bCs/>
        </w:rPr>
        <w:t>Exemption</w:t>
      </w:r>
      <w:proofErr w:type="gramEnd"/>
      <w:r w:rsidR="001C4463" w:rsidRPr="00C206D9">
        <w:rPr>
          <w:bCs/>
        </w:rPr>
        <w:t xml:space="preserve"> </w:t>
      </w:r>
      <w:proofErr w:type="gramStart"/>
      <w:r w:rsidR="001C4463" w:rsidRPr="00C206D9">
        <w:rPr>
          <w:bCs/>
        </w:rPr>
        <w:t>for</w:t>
      </w:r>
      <w:proofErr w:type="gramEnd"/>
      <w:r w:rsidR="001C4463" w:rsidRPr="00C206D9">
        <w:rPr>
          <w:bCs/>
        </w:rPr>
        <w:t xml:space="preserve"> Digital Tools</w:t>
      </w:r>
    </w:p>
    <w:p w14:paraId="1837CF9A" w14:textId="77777777" w:rsidR="00FD77AB" w:rsidRDefault="00FD77AB" w:rsidP="0043784A">
      <w:pPr>
        <w:pStyle w:val="WPNormal"/>
        <w:numPr>
          <w:ilvl w:val="0"/>
          <w:numId w:val="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 xml:space="preserve">ESTIMATED IMPLEMENTATION COSTS </w:t>
      </w:r>
      <w:r w:rsidRPr="00B16356">
        <w:rPr>
          <w:rFonts w:ascii="Palatino" w:hAnsi="Palatino"/>
          <w:sz w:val="20"/>
        </w:rPr>
        <w:t>(</w:t>
      </w:r>
      <w:r w:rsidRPr="00AD24E6">
        <w:rPr>
          <w:rFonts w:ascii="Palatino" w:hAnsi="Palatino"/>
          <w:sz w:val="20"/>
        </w:rPr>
        <w:t>SAVINGS</w:t>
      </w:r>
      <w:r w:rsidRPr="00B16356">
        <w:rPr>
          <w:rFonts w:ascii="Palatino" w:hAnsi="Palatino"/>
          <w:sz w:val="20"/>
        </w:rPr>
        <w:t>)</w:t>
      </w:r>
      <w:r w:rsidRPr="00DC0C63">
        <w:rPr>
          <w:rFonts w:ascii="Palatino" w:hAnsi="Palatino"/>
          <w:sz w:val="20"/>
        </w:rPr>
        <w:t xml:space="preserve"> TO STATE OR LOCAL</w:t>
      </w:r>
      <w:r>
        <w:rPr>
          <w:rFonts w:ascii="Palatino" w:hAnsi="Palatino"/>
          <w:sz w:val="20"/>
        </w:rPr>
        <w:t xml:space="preserve"> </w:t>
      </w:r>
      <w:r w:rsidRPr="00DC0C63">
        <w:rPr>
          <w:rFonts w:ascii="Palatino" w:hAnsi="Palatino"/>
          <w:sz w:val="20"/>
        </w:rPr>
        <w:t>GOVERNMENTAL</w:t>
      </w:r>
      <w:r>
        <w:rPr>
          <w:rFonts w:ascii="Palatino" w:hAnsi="Palatino"/>
          <w:sz w:val="20"/>
        </w:rPr>
        <w:t xml:space="preserve"> </w:t>
      </w:r>
      <w:r w:rsidRPr="00DC0C63">
        <w:rPr>
          <w:rFonts w:ascii="Palatino" w:hAnsi="Palatino"/>
          <w:sz w:val="20"/>
        </w:rPr>
        <w:t>UNITS</w:t>
      </w:r>
      <w:r>
        <w:rPr>
          <w:rFonts w:ascii="Palatino" w:hAnsi="Palatino"/>
          <w:sz w:val="20"/>
        </w:rPr>
        <w:t xml:space="preserve"> </w:t>
      </w:r>
      <w:r w:rsidRPr="00DC0C63">
        <w:rPr>
          <w:rFonts w:ascii="Palatino" w:hAnsi="Palatino"/>
          <w:sz w:val="20"/>
        </w:rPr>
        <w:t>(Summary)</w:t>
      </w:r>
      <w:r>
        <w:rPr>
          <w:rFonts w:ascii="Palatino" w:hAnsi="Palatino"/>
          <w:sz w:val="20"/>
        </w:rPr>
        <w:tab/>
      </w:r>
    </w:p>
    <w:p w14:paraId="3024049D" w14:textId="77777777" w:rsidR="00FD77AB" w:rsidRPr="001F7887"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bCs/>
          <w:sz w:val="20"/>
        </w:rPr>
      </w:pPr>
      <w:r>
        <w:rPr>
          <w:rFonts w:ascii="Palatino" w:hAnsi="Palatino"/>
          <w:sz w:val="20"/>
        </w:rPr>
        <w:br/>
      </w:r>
      <w:r w:rsidRPr="001F7887">
        <w:rPr>
          <w:rFonts w:ascii="Palatino" w:hAnsi="Palatino"/>
          <w:b/>
          <w:bCs/>
          <w:sz w:val="20"/>
        </w:rPr>
        <w:t xml:space="preserve">The proposed rule is </w:t>
      </w:r>
      <w:r>
        <w:rPr>
          <w:rFonts w:ascii="Palatino" w:hAnsi="Palatino"/>
          <w:b/>
          <w:bCs/>
          <w:sz w:val="20"/>
        </w:rPr>
        <w:t>not anticipated</w:t>
      </w:r>
      <w:r w:rsidRPr="001F7887">
        <w:rPr>
          <w:rFonts w:ascii="Palatino" w:hAnsi="Palatino"/>
          <w:b/>
          <w:bCs/>
          <w:sz w:val="20"/>
        </w:rPr>
        <w:t xml:space="preserve"> to </w:t>
      </w:r>
      <w:r>
        <w:rPr>
          <w:rFonts w:ascii="Palatino" w:hAnsi="Palatino"/>
          <w:b/>
          <w:bCs/>
          <w:sz w:val="20"/>
        </w:rPr>
        <w:t>result in</w:t>
      </w:r>
      <w:r w:rsidRPr="001F7887">
        <w:rPr>
          <w:rFonts w:ascii="Palatino" w:hAnsi="Palatino"/>
          <w:b/>
          <w:bCs/>
          <w:sz w:val="20"/>
        </w:rPr>
        <w:t xml:space="preserve"> </w:t>
      </w:r>
      <w:r>
        <w:rPr>
          <w:rFonts w:ascii="Palatino" w:hAnsi="Palatino"/>
          <w:b/>
          <w:bCs/>
          <w:sz w:val="20"/>
        </w:rPr>
        <w:t xml:space="preserve">material </w:t>
      </w:r>
      <w:r w:rsidRPr="001F7887">
        <w:rPr>
          <w:rFonts w:ascii="Palatino" w:hAnsi="Palatino"/>
          <w:b/>
          <w:bCs/>
          <w:sz w:val="20"/>
        </w:rPr>
        <w:t xml:space="preserve">costs </w:t>
      </w:r>
      <w:r>
        <w:rPr>
          <w:rFonts w:ascii="Palatino" w:hAnsi="Palatino"/>
          <w:b/>
          <w:bCs/>
          <w:sz w:val="20"/>
        </w:rPr>
        <w:t>or cost savings for</w:t>
      </w:r>
      <w:r w:rsidRPr="001F7887">
        <w:rPr>
          <w:rFonts w:ascii="Palatino" w:hAnsi="Palatino"/>
          <w:b/>
          <w:bCs/>
          <w:sz w:val="20"/>
        </w:rPr>
        <w:t xml:space="preserve"> state</w:t>
      </w:r>
      <w:r>
        <w:rPr>
          <w:rFonts w:ascii="Palatino" w:hAnsi="Palatino"/>
          <w:b/>
          <w:bCs/>
          <w:sz w:val="20"/>
        </w:rPr>
        <w:t xml:space="preserve"> and</w:t>
      </w:r>
      <w:r w:rsidRPr="001F7887">
        <w:rPr>
          <w:rFonts w:ascii="Palatino" w:hAnsi="Palatino"/>
          <w:b/>
          <w:bCs/>
          <w:sz w:val="20"/>
        </w:rPr>
        <w:t xml:space="preserve"> local government</w:t>
      </w:r>
      <w:r>
        <w:rPr>
          <w:rFonts w:ascii="Palatino" w:hAnsi="Palatino"/>
          <w:b/>
          <w:bCs/>
          <w:sz w:val="20"/>
        </w:rPr>
        <w:t>al units</w:t>
      </w:r>
      <w:r w:rsidRPr="001F7887">
        <w:rPr>
          <w:rFonts w:ascii="Palatino" w:hAnsi="Palatino"/>
          <w:b/>
          <w:bCs/>
          <w:sz w:val="20"/>
        </w:rPr>
        <w:t>.</w:t>
      </w:r>
    </w:p>
    <w:p w14:paraId="70D1C151" w14:textId="77777777" w:rsidR="00FD77AB" w:rsidRPr="001F7887"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bCs/>
          <w:sz w:val="20"/>
        </w:rPr>
      </w:pPr>
    </w:p>
    <w:p w14:paraId="39F228CD" w14:textId="77777777" w:rsidR="00FD77AB"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bCs/>
          <w:sz w:val="20"/>
        </w:rPr>
      </w:pPr>
      <w:r w:rsidRPr="007C4DDF">
        <w:rPr>
          <w:rFonts w:ascii="Palatino" w:hAnsi="Palatino"/>
          <w:b/>
          <w:bCs/>
          <w:sz w:val="20"/>
        </w:rPr>
        <w:lastRenderedPageBreak/>
        <w:t xml:space="preserve">The purpose of the proposed </w:t>
      </w:r>
      <w:r>
        <w:rPr>
          <w:rFonts w:ascii="Palatino" w:hAnsi="Palatino"/>
          <w:b/>
          <w:bCs/>
          <w:sz w:val="20"/>
        </w:rPr>
        <w:t>r</w:t>
      </w:r>
      <w:r w:rsidRPr="007C4DDF">
        <w:rPr>
          <w:rFonts w:ascii="Palatino" w:hAnsi="Palatino"/>
          <w:b/>
          <w:bCs/>
          <w:sz w:val="20"/>
        </w:rPr>
        <w:t xml:space="preserve">ule is to </w:t>
      </w:r>
      <w:r>
        <w:rPr>
          <w:rFonts w:ascii="Palatino" w:hAnsi="Palatino"/>
          <w:b/>
          <w:bCs/>
          <w:sz w:val="20"/>
        </w:rPr>
        <w:t>implement the state and local sales tax exemption established in Act 10 of the 2024 3</w:t>
      </w:r>
      <w:r w:rsidRPr="00224B20">
        <w:rPr>
          <w:rFonts w:ascii="Palatino" w:hAnsi="Palatino"/>
          <w:b/>
          <w:bCs/>
          <w:sz w:val="20"/>
          <w:vertAlign w:val="superscript"/>
        </w:rPr>
        <w:t>rd</w:t>
      </w:r>
      <w:r>
        <w:rPr>
          <w:rFonts w:ascii="Palatino" w:hAnsi="Palatino"/>
          <w:b/>
          <w:bCs/>
          <w:sz w:val="20"/>
        </w:rPr>
        <w:t xml:space="preserve"> ES and amended in Act 384 of the 2025 RS. The proposed rules </w:t>
      </w:r>
      <w:r w:rsidRPr="007C4DDF">
        <w:rPr>
          <w:rFonts w:ascii="Palatino" w:hAnsi="Palatino"/>
          <w:b/>
          <w:bCs/>
          <w:sz w:val="20"/>
        </w:rPr>
        <w:t>provide definitions</w:t>
      </w:r>
      <w:r>
        <w:rPr>
          <w:rFonts w:ascii="Palatino" w:hAnsi="Palatino"/>
          <w:b/>
          <w:bCs/>
          <w:sz w:val="20"/>
        </w:rPr>
        <w:t xml:space="preserve"> and </w:t>
      </w:r>
      <w:r w:rsidRPr="007C4DDF">
        <w:rPr>
          <w:rFonts w:ascii="Palatino" w:hAnsi="Palatino"/>
          <w:b/>
          <w:bCs/>
          <w:sz w:val="20"/>
        </w:rPr>
        <w:t>guidance</w:t>
      </w:r>
      <w:r>
        <w:rPr>
          <w:rFonts w:ascii="Palatino" w:hAnsi="Palatino"/>
          <w:b/>
          <w:bCs/>
          <w:sz w:val="20"/>
        </w:rPr>
        <w:t xml:space="preserve"> to</w:t>
      </w:r>
      <w:r w:rsidRPr="007C4DDF">
        <w:rPr>
          <w:rFonts w:ascii="Palatino" w:hAnsi="Palatino"/>
          <w:b/>
          <w:bCs/>
          <w:sz w:val="20"/>
        </w:rPr>
        <w:t xml:space="preserve"> help businesses, financial institutions, healthcare facilities, and providers determine whether purchases of </w:t>
      </w:r>
      <w:r>
        <w:rPr>
          <w:rFonts w:ascii="Palatino" w:hAnsi="Palatino"/>
          <w:b/>
          <w:bCs/>
          <w:sz w:val="20"/>
        </w:rPr>
        <w:t xml:space="preserve">computer software, prewritten computer software access services, or information services (defined as “digital tools” in the proposed rules) </w:t>
      </w:r>
      <w:r w:rsidRPr="007C4DDF">
        <w:rPr>
          <w:rFonts w:ascii="Palatino" w:hAnsi="Palatino"/>
          <w:b/>
          <w:bCs/>
          <w:sz w:val="20"/>
        </w:rPr>
        <w:t xml:space="preserve">qualify for the </w:t>
      </w:r>
      <w:r>
        <w:rPr>
          <w:rFonts w:ascii="Palatino" w:hAnsi="Palatino"/>
          <w:b/>
          <w:bCs/>
          <w:sz w:val="20"/>
        </w:rPr>
        <w:t xml:space="preserve">state and local sales tax </w:t>
      </w:r>
      <w:r w:rsidRPr="007C4DDF">
        <w:rPr>
          <w:rFonts w:ascii="Palatino" w:hAnsi="Palatino"/>
          <w:b/>
          <w:bCs/>
          <w:sz w:val="20"/>
        </w:rPr>
        <w:t>exemption under R.S. 47:305.12. </w:t>
      </w:r>
      <w:r>
        <w:rPr>
          <w:rFonts w:ascii="Palatino" w:hAnsi="Palatino"/>
          <w:b/>
          <w:bCs/>
          <w:sz w:val="20"/>
        </w:rPr>
        <w:t xml:space="preserve">  </w:t>
      </w:r>
    </w:p>
    <w:p w14:paraId="1A141B5D" w14:textId="77777777" w:rsidR="00FD77AB" w:rsidRPr="00DB4D61"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bCs/>
          <w:sz w:val="20"/>
        </w:rPr>
      </w:pPr>
    </w:p>
    <w:p w14:paraId="106A7EED" w14:textId="77777777" w:rsidR="00FD77AB" w:rsidRDefault="00FD77AB" w:rsidP="0043784A">
      <w:pPr>
        <w:pStyle w:val="WPNormal"/>
        <w:numPr>
          <w:ilvl w:val="0"/>
          <w:numId w:val="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EFFECT ON REVENUE COLLECTIONS OF STATE OR LOCAL GOVERNMENTAL UNITS (Summary)</w:t>
      </w:r>
      <w:r>
        <w:rPr>
          <w:rFonts w:ascii="Palatino" w:hAnsi="Palatino"/>
          <w:sz w:val="20"/>
        </w:rPr>
        <w:tab/>
      </w:r>
    </w:p>
    <w:p w14:paraId="60941027" w14:textId="77777777" w:rsidR="00FD77AB" w:rsidRPr="004A4268"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sz w:val="20"/>
        </w:rPr>
      </w:pPr>
      <w:r>
        <w:rPr>
          <w:rFonts w:ascii="Palatino" w:hAnsi="Palatino"/>
          <w:sz w:val="20"/>
        </w:rPr>
        <w:br/>
      </w:r>
      <w:r w:rsidRPr="007C4DDF">
        <w:rPr>
          <w:rFonts w:ascii="Palatino" w:hAnsi="Palatino"/>
          <w:b/>
          <w:sz w:val="20"/>
        </w:rPr>
        <w:t xml:space="preserve">The </w:t>
      </w:r>
      <w:r>
        <w:rPr>
          <w:rFonts w:ascii="Palatino" w:hAnsi="Palatino"/>
          <w:b/>
          <w:sz w:val="20"/>
        </w:rPr>
        <w:t>proposed</w:t>
      </w:r>
      <w:r w:rsidRPr="007C4DDF">
        <w:rPr>
          <w:rFonts w:ascii="Palatino" w:hAnsi="Palatino"/>
          <w:b/>
          <w:sz w:val="20"/>
        </w:rPr>
        <w:t xml:space="preserve"> rule is </w:t>
      </w:r>
      <w:r>
        <w:rPr>
          <w:rFonts w:ascii="Palatino" w:hAnsi="Palatino"/>
          <w:b/>
          <w:sz w:val="20"/>
        </w:rPr>
        <w:t xml:space="preserve">anticipated to decrease SGF and local revenue by an indeterminable amount annually, likely in the tens of millions of dollars, as businesses, financial institutions, and healthcare facilities will be exempt from state and local sales tax on certain purchases of digital tools. The sales tax exemption for financial institutions and healthcare facilities was specifically estimated to </w:t>
      </w:r>
      <w:proofErr w:type="gramStart"/>
      <w:r>
        <w:rPr>
          <w:rFonts w:ascii="Palatino" w:hAnsi="Palatino"/>
          <w:b/>
          <w:sz w:val="20"/>
        </w:rPr>
        <w:t>reduce</w:t>
      </w:r>
      <w:proofErr w:type="gramEnd"/>
      <w:r>
        <w:rPr>
          <w:rFonts w:ascii="Palatino" w:hAnsi="Palatino"/>
          <w:b/>
          <w:sz w:val="20"/>
        </w:rPr>
        <w:t xml:space="preserve"> approximately $3 M annually in the fiscal note for Act 10 of the 2024 3</w:t>
      </w:r>
      <w:r w:rsidRPr="00750111">
        <w:rPr>
          <w:rFonts w:ascii="Palatino" w:hAnsi="Palatino"/>
          <w:b/>
          <w:sz w:val="20"/>
          <w:vertAlign w:val="superscript"/>
        </w:rPr>
        <w:t>rd</w:t>
      </w:r>
      <w:r>
        <w:rPr>
          <w:rFonts w:ascii="Palatino" w:hAnsi="Palatino"/>
          <w:b/>
          <w:sz w:val="20"/>
        </w:rPr>
        <w:t xml:space="preserve"> ES under a 4% sales tax rate, which would be scaled to $3.75 M at the current state sales tax rate of 5%. However, the estimated revenue loss from digital tools eligible for the commercial production exemption is indeterminable due to the breadth of applications for the exemption in numerous business industries. The sales tax exemption took effect on January 1, 2025.</w:t>
      </w:r>
    </w:p>
    <w:p w14:paraId="2B3CA201" w14:textId="77777777" w:rsidR="00FD77AB" w:rsidRPr="004A4268"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sz w:val="20"/>
        </w:rPr>
      </w:pPr>
    </w:p>
    <w:p w14:paraId="501FC12D" w14:textId="77777777" w:rsidR="00FD77AB" w:rsidRDefault="00FD77AB" w:rsidP="0043784A">
      <w:pPr>
        <w:pStyle w:val="WPNormal"/>
        <w:numPr>
          <w:ilvl w:val="0"/>
          <w:numId w:val="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COSTS AND/OR ECONOMIC BENEFITS TO DIRECTLY AFFECTED PERSONS</w:t>
      </w:r>
      <w:r>
        <w:rPr>
          <w:rFonts w:ascii="Palatino" w:hAnsi="Palatino"/>
          <w:sz w:val="20"/>
        </w:rPr>
        <w:t xml:space="preserve">, SMALL BUSINESSES, </w:t>
      </w:r>
      <w:r w:rsidRPr="00DC0C63">
        <w:rPr>
          <w:rFonts w:ascii="Palatino" w:hAnsi="Palatino"/>
          <w:sz w:val="20"/>
        </w:rPr>
        <w:t>OR NON-GOVERNMENTAL GROUPS</w:t>
      </w:r>
      <w:r>
        <w:rPr>
          <w:rFonts w:ascii="Palatino" w:hAnsi="Palatino"/>
          <w:sz w:val="20"/>
        </w:rPr>
        <w:t xml:space="preserve"> (</w:t>
      </w:r>
      <w:r w:rsidRPr="00DC0C63">
        <w:rPr>
          <w:rFonts w:ascii="Palatino" w:hAnsi="Palatino"/>
          <w:sz w:val="20"/>
        </w:rPr>
        <w:t>Summary)</w:t>
      </w:r>
      <w:r>
        <w:rPr>
          <w:rFonts w:ascii="Palatino" w:hAnsi="Palatino"/>
          <w:sz w:val="20"/>
        </w:rPr>
        <w:tab/>
      </w:r>
    </w:p>
    <w:p w14:paraId="6D42B9C1" w14:textId="77777777" w:rsidR="00FD77AB"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b/>
          <w:bCs/>
          <w:sz w:val="20"/>
        </w:rPr>
      </w:pPr>
      <w:r>
        <w:rPr>
          <w:rFonts w:ascii="Palatino" w:hAnsi="Palatino"/>
          <w:sz w:val="20"/>
        </w:rPr>
        <w:br/>
      </w:r>
      <w:r w:rsidRPr="0030511C">
        <w:rPr>
          <w:rFonts w:ascii="Palatino" w:hAnsi="Palatino"/>
          <w:b/>
          <w:bCs/>
          <w:sz w:val="20"/>
        </w:rPr>
        <w:t xml:space="preserve">Businesses, financial institutions, and healthcare facilities, along with their providers, will be directly affected by the proposed rule. </w:t>
      </w:r>
      <w:r>
        <w:rPr>
          <w:rFonts w:ascii="Palatino" w:hAnsi="Palatino"/>
          <w:b/>
          <w:bCs/>
          <w:sz w:val="20"/>
        </w:rPr>
        <w:t xml:space="preserve">The proposed rule implements a state and local sales tax exemption for certain purchases of digital tools, which is anticipated to reduce state and local sales tax liabilities. </w:t>
      </w:r>
      <w:r w:rsidRPr="0030511C">
        <w:rPr>
          <w:rFonts w:ascii="Palatino" w:hAnsi="Palatino"/>
          <w:b/>
          <w:bCs/>
          <w:sz w:val="20"/>
        </w:rPr>
        <w:t xml:space="preserve">This rule aims to eliminate confusion and enhance the public's understanding of the available exemptions. By providing clear criteria, the rule will help ensure that stakeholders are well-informed about the conditions that determine eligibility for these exemptions. While the estimated economic benefits are difficult to quantify, the intention is to minimize the risk of inadvertent violations that could result in penalties or legal </w:t>
      </w:r>
      <w:r>
        <w:rPr>
          <w:rFonts w:ascii="Palatino" w:hAnsi="Palatino"/>
          <w:b/>
          <w:bCs/>
          <w:sz w:val="20"/>
        </w:rPr>
        <w:t>issues</w:t>
      </w:r>
      <w:r w:rsidRPr="0030511C">
        <w:rPr>
          <w:rFonts w:ascii="Palatino" w:hAnsi="Palatino"/>
          <w:b/>
          <w:bCs/>
          <w:sz w:val="20"/>
        </w:rPr>
        <w:t>.</w:t>
      </w:r>
    </w:p>
    <w:p w14:paraId="33DD1C39" w14:textId="77777777" w:rsidR="00FD77AB" w:rsidRDefault="00FD77AB" w:rsidP="00FD77AB">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44907AF7" w14:textId="77777777" w:rsidR="00FD77AB" w:rsidRDefault="00FD77AB" w:rsidP="0043784A">
      <w:pPr>
        <w:pStyle w:val="WPNormal"/>
        <w:keepNext/>
        <w:keepLines/>
        <w:numPr>
          <w:ilvl w:val="0"/>
          <w:numId w:val="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Palatino" w:hAnsi="Palatino"/>
          <w:sz w:val="20"/>
        </w:rPr>
      </w:pPr>
      <w:r w:rsidRPr="00DC0C63">
        <w:rPr>
          <w:rFonts w:ascii="Palatino" w:hAnsi="Palatino"/>
          <w:sz w:val="20"/>
        </w:rPr>
        <w:t>ESTIMATED EFFECT ON COMPETITION AND EMPLOYMENT (Summary)</w:t>
      </w:r>
      <w:r>
        <w:rPr>
          <w:rFonts w:ascii="Palatino" w:hAnsi="Palatino"/>
          <w:sz w:val="20"/>
        </w:rPr>
        <w:tab/>
      </w:r>
    </w:p>
    <w:p w14:paraId="75CA41C6" w14:textId="77777777" w:rsidR="00FD77AB" w:rsidRPr="00DB4D61" w:rsidRDefault="00FD77AB" w:rsidP="00FD77AB">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b/>
          <w:bCs/>
          <w:sz w:val="20"/>
        </w:rPr>
      </w:pPr>
      <w:r>
        <w:rPr>
          <w:rFonts w:ascii="Palatino" w:hAnsi="Palatino"/>
          <w:sz w:val="20"/>
        </w:rPr>
        <w:br/>
      </w:r>
      <w:r w:rsidRPr="00DB4D61">
        <w:rPr>
          <w:rFonts w:ascii="Palatino" w:hAnsi="Palatino"/>
          <w:b/>
          <w:bCs/>
          <w:sz w:val="20"/>
        </w:rPr>
        <w:t>There is no anticipated impact on competition or employment.</w:t>
      </w:r>
    </w:p>
    <w:p w14:paraId="6B4A4648" w14:textId="77777777" w:rsidR="000517D3" w:rsidRDefault="000517D3" w:rsidP="00F34C02">
      <w:pPr>
        <w:pStyle w:val="A"/>
        <w:tabs>
          <w:tab w:val="clear" w:pos="144"/>
          <w:tab w:val="clear" w:pos="187"/>
          <w:tab w:val="clear" w:pos="540"/>
          <w:tab w:val="clear" w:pos="907"/>
          <w:tab w:val="clear" w:pos="1080"/>
        </w:tabs>
        <w:ind w:firstLine="0"/>
        <w:rPr>
          <w:sz w:val="24"/>
          <w:szCs w:val="24"/>
        </w:rPr>
      </w:pPr>
    </w:p>
    <w:p w14:paraId="1B773404" w14:textId="77777777" w:rsidR="00FD77AB" w:rsidRDefault="00FD77AB" w:rsidP="00FD77AB">
      <w:pPr>
        <w:widowControl w:val="0"/>
        <w:tabs>
          <w:tab w:val="left" w:pos="-38"/>
          <w:tab w:val="left" w:pos="682"/>
          <w:tab w:val="left" w:pos="1402"/>
          <w:tab w:val="left" w:pos="2122"/>
          <w:tab w:val="left" w:pos="2842"/>
          <w:tab w:val="left" w:pos="3562"/>
          <w:tab w:val="left" w:pos="4282"/>
          <w:tab w:val="left" w:pos="5002"/>
          <w:tab w:val="left" w:pos="5722"/>
          <w:tab w:val="left" w:pos="6442"/>
          <w:tab w:val="left" w:pos="7162"/>
          <w:tab w:val="left" w:pos="7882"/>
          <w:tab w:val="left" w:pos="8602"/>
          <w:tab w:val="left" w:pos="9322"/>
          <w:tab w:val="left" w:pos="10042"/>
        </w:tabs>
        <w:spacing w:line="235" w:lineRule="auto"/>
        <w:ind w:left="681" w:hanging="681"/>
        <w:jc w:val="both"/>
        <w:rPr>
          <w:bCs/>
          <w:iCs/>
          <w:snapToGrid w:val="0"/>
          <w:szCs w:val="20"/>
        </w:rPr>
      </w:pPr>
      <w:r>
        <w:rPr>
          <w:bCs/>
          <w:iCs/>
          <w:snapToGrid w:val="0"/>
          <w:szCs w:val="20"/>
        </w:rPr>
        <w:tab/>
        <w:t>Richard Nelson</w:t>
      </w:r>
      <w:r>
        <w:rPr>
          <w:bCs/>
          <w:iCs/>
          <w:snapToGrid w:val="0"/>
          <w:szCs w:val="20"/>
        </w:rPr>
        <w:tab/>
      </w:r>
      <w:r>
        <w:rPr>
          <w:bCs/>
          <w:iCs/>
          <w:snapToGrid w:val="0"/>
          <w:szCs w:val="20"/>
        </w:rPr>
        <w:tab/>
      </w:r>
      <w:r>
        <w:rPr>
          <w:bCs/>
          <w:iCs/>
          <w:snapToGrid w:val="0"/>
          <w:szCs w:val="20"/>
        </w:rPr>
        <w:tab/>
      </w:r>
      <w:r>
        <w:rPr>
          <w:bCs/>
          <w:iCs/>
          <w:snapToGrid w:val="0"/>
          <w:szCs w:val="20"/>
        </w:rPr>
        <w:tab/>
        <w:t>Alan M. Boxberger</w:t>
      </w:r>
    </w:p>
    <w:p w14:paraId="47133AAB" w14:textId="77777777" w:rsidR="00FD77AB" w:rsidRPr="006767D7" w:rsidRDefault="00FD77AB" w:rsidP="00FD77AB">
      <w:pPr>
        <w:widowControl w:val="0"/>
        <w:tabs>
          <w:tab w:val="left" w:pos="-38"/>
          <w:tab w:val="left" w:pos="682"/>
          <w:tab w:val="left" w:pos="1402"/>
          <w:tab w:val="left" w:pos="2122"/>
          <w:tab w:val="left" w:pos="2842"/>
          <w:tab w:val="left" w:pos="3562"/>
          <w:tab w:val="left" w:pos="4282"/>
          <w:tab w:val="left" w:pos="5002"/>
          <w:tab w:val="left" w:pos="5722"/>
          <w:tab w:val="left" w:pos="6442"/>
          <w:tab w:val="left" w:pos="7162"/>
          <w:tab w:val="left" w:pos="7882"/>
          <w:tab w:val="left" w:pos="8602"/>
          <w:tab w:val="left" w:pos="9322"/>
          <w:tab w:val="left" w:pos="10042"/>
        </w:tabs>
        <w:spacing w:line="235" w:lineRule="auto"/>
        <w:ind w:left="681" w:hanging="681"/>
        <w:jc w:val="both"/>
        <w:rPr>
          <w:bCs/>
        </w:rPr>
      </w:pPr>
      <w:r>
        <w:rPr>
          <w:bCs/>
          <w:iCs/>
          <w:snapToGrid w:val="0"/>
          <w:szCs w:val="20"/>
        </w:rPr>
        <w:tab/>
        <w:t xml:space="preserve">Secretary </w:t>
      </w:r>
      <w:r>
        <w:rPr>
          <w:bCs/>
          <w:iCs/>
          <w:snapToGrid w:val="0"/>
          <w:szCs w:val="20"/>
        </w:rPr>
        <w:tab/>
      </w:r>
      <w:r>
        <w:rPr>
          <w:bCs/>
          <w:iCs/>
          <w:snapToGrid w:val="0"/>
          <w:szCs w:val="20"/>
        </w:rPr>
        <w:tab/>
      </w:r>
      <w:r>
        <w:rPr>
          <w:bCs/>
          <w:iCs/>
          <w:snapToGrid w:val="0"/>
          <w:szCs w:val="20"/>
        </w:rPr>
        <w:tab/>
      </w:r>
      <w:r>
        <w:rPr>
          <w:bCs/>
          <w:iCs/>
          <w:snapToGrid w:val="0"/>
          <w:szCs w:val="20"/>
        </w:rPr>
        <w:tab/>
      </w:r>
      <w:r>
        <w:rPr>
          <w:bCs/>
          <w:iCs/>
          <w:snapToGrid w:val="0"/>
          <w:szCs w:val="20"/>
        </w:rPr>
        <w:tab/>
        <w:t>Legislative Fiscal Officer</w:t>
      </w:r>
    </w:p>
    <w:p w14:paraId="47BE9B52" w14:textId="77777777" w:rsidR="00FD77AB" w:rsidRPr="002C2BD0" w:rsidRDefault="00FD77AB" w:rsidP="00F34C02">
      <w:pPr>
        <w:pStyle w:val="A"/>
        <w:tabs>
          <w:tab w:val="clear" w:pos="144"/>
          <w:tab w:val="clear" w:pos="187"/>
          <w:tab w:val="clear" w:pos="540"/>
          <w:tab w:val="clear" w:pos="907"/>
          <w:tab w:val="clear" w:pos="1080"/>
        </w:tabs>
        <w:ind w:firstLine="0"/>
        <w:rPr>
          <w:sz w:val="24"/>
          <w:szCs w:val="24"/>
        </w:rPr>
      </w:pPr>
      <w:r>
        <w:rPr>
          <w:sz w:val="24"/>
          <w:szCs w:val="24"/>
        </w:rPr>
        <w:tab/>
        <w:t xml:space="preserve">    Louisiana Department of Revenue</w:t>
      </w:r>
    </w:p>
    <w:sectPr w:rsidR="00FD77AB" w:rsidRPr="002C2BD0" w:rsidSect="00D60288">
      <w:footerReference w:type="default" r:id="rId12"/>
      <w:headerReference w:type="first" r:id="rId13"/>
      <w:footerReference w:type="first" r:id="rId14"/>
      <w:pgSz w:w="12240" w:h="20160" w:code="5"/>
      <w:pgMar w:top="1008" w:right="1440" w:bottom="72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EA65" w14:textId="77777777" w:rsidR="00BC2412" w:rsidRDefault="00BC2412">
      <w:r>
        <w:separator/>
      </w:r>
    </w:p>
  </w:endnote>
  <w:endnote w:type="continuationSeparator" w:id="0">
    <w:p w14:paraId="26FAD20E" w14:textId="77777777" w:rsidR="00BC2412" w:rsidRDefault="00BC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198A" w14:textId="77777777" w:rsidR="000D2D3D" w:rsidRDefault="000D2D3D">
    <w:pPr>
      <w:pStyle w:val="Footer"/>
      <w:jc w:val="center"/>
    </w:pPr>
  </w:p>
  <w:p w14:paraId="22CCB061" w14:textId="77777777" w:rsidR="000D2D3D" w:rsidRDefault="000D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29F6" w14:textId="77777777" w:rsidR="000D2D3D" w:rsidRDefault="000D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B580" w14:textId="77777777" w:rsidR="00BC2412" w:rsidRDefault="00BC2412">
      <w:r>
        <w:separator/>
      </w:r>
    </w:p>
  </w:footnote>
  <w:footnote w:type="continuationSeparator" w:id="0">
    <w:p w14:paraId="5C3149DD" w14:textId="77777777" w:rsidR="00BC2412" w:rsidRDefault="00BC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82CD" w14:textId="77777777" w:rsidR="000D2D3D" w:rsidRDefault="000D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15723F"/>
    <w:multiLevelType w:val="hybridMultilevel"/>
    <w:tmpl w:val="56E605F6"/>
    <w:lvl w:ilvl="0" w:tplc="00900824">
      <w:start w:val="1"/>
      <w:numFmt w:val="bullet"/>
      <w:pStyle w:val="bullets"/>
      <w:lvlText w:val="▪"/>
      <w:lvlJc w:val="left"/>
      <w:pPr>
        <w:ind w:left="720" w:hanging="360"/>
      </w:pPr>
      <w:rPr>
        <w:rFonts w:ascii="Microsoft Sans Serif" w:eastAsia="Microsoft Sans Serif" w:hAnsi="Microsoft Sans Serif" w:hint="default"/>
        <w:color w:val="5B9BD4"/>
        <w:w w:val="129"/>
        <w:sz w:val="24"/>
        <w:szCs w:val="24"/>
      </w:rPr>
    </w:lvl>
    <w:lvl w:ilvl="1" w:tplc="E3DC0D00">
      <w:start w:val="1"/>
      <w:numFmt w:val="bullet"/>
      <w:lvlText w:val="▪"/>
      <w:lvlJc w:val="left"/>
      <w:pPr>
        <w:ind w:left="1080" w:hanging="360"/>
      </w:pPr>
      <w:rPr>
        <w:rFonts w:ascii="Microsoft Sans Serif" w:eastAsia="Microsoft Sans Serif" w:hAnsi="Microsoft Sans Serif" w:hint="default"/>
        <w:color w:val="5B9BD4"/>
        <w:w w:val="129"/>
        <w:sz w:val="24"/>
        <w:szCs w:val="24"/>
      </w:rPr>
    </w:lvl>
    <w:lvl w:ilvl="2" w:tplc="1ADCBB6A">
      <w:start w:val="1"/>
      <w:numFmt w:val="bullet"/>
      <w:lvlText w:val="•"/>
      <w:lvlJc w:val="left"/>
      <w:pPr>
        <w:ind w:left="2009" w:hanging="360"/>
      </w:pPr>
      <w:rPr>
        <w:rFonts w:hint="default"/>
      </w:rPr>
    </w:lvl>
    <w:lvl w:ilvl="3" w:tplc="636CC294">
      <w:start w:val="1"/>
      <w:numFmt w:val="bullet"/>
      <w:lvlText w:val="•"/>
      <w:lvlJc w:val="left"/>
      <w:pPr>
        <w:ind w:left="2938" w:hanging="360"/>
      </w:pPr>
      <w:rPr>
        <w:rFonts w:hint="default"/>
      </w:rPr>
    </w:lvl>
    <w:lvl w:ilvl="4" w:tplc="5DAAA028">
      <w:start w:val="1"/>
      <w:numFmt w:val="bullet"/>
      <w:lvlText w:val="•"/>
      <w:lvlJc w:val="left"/>
      <w:pPr>
        <w:ind w:left="3866" w:hanging="360"/>
      </w:pPr>
      <w:rPr>
        <w:rFonts w:hint="default"/>
      </w:rPr>
    </w:lvl>
    <w:lvl w:ilvl="5" w:tplc="997A5AF8">
      <w:start w:val="1"/>
      <w:numFmt w:val="bullet"/>
      <w:lvlText w:val="•"/>
      <w:lvlJc w:val="left"/>
      <w:pPr>
        <w:ind w:left="4795" w:hanging="360"/>
      </w:pPr>
      <w:rPr>
        <w:rFonts w:hint="default"/>
      </w:rPr>
    </w:lvl>
    <w:lvl w:ilvl="6" w:tplc="749629B2">
      <w:start w:val="1"/>
      <w:numFmt w:val="bullet"/>
      <w:lvlText w:val="•"/>
      <w:lvlJc w:val="left"/>
      <w:pPr>
        <w:ind w:left="5724" w:hanging="360"/>
      </w:pPr>
      <w:rPr>
        <w:rFonts w:hint="default"/>
      </w:rPr>
    </w:lvl>
    <w:lvl w:ilvl="7" w:tplc="158289B6">
      <w:start w:val="1"/>
      <w:numFmt w:val="bullet"/>
      <w:lvlText w:val="•"/>
      <w:lvlJc w:val="left"/>
      <w:pPr>
        <w:ind w:left="6653" w:hanging="360"/>
      </w:pPr>
      <w:rPr>
        <w:rFonts w:hint="default"/>
      </w:rPr>
    </w:lvl>
    <w:lvl w:ilvl="8" w:tplc="A0288FCE">
      <w:start w:val="1"/>
      <w:numFmt w:val="bullet"/>
      <w:lvlText w:val="•"/>
      <w:lvlJc w:val="left"/>
      <w:pPr>
        <w:ind w:left="7582" w:hanging="360"/>
      </w:pPr>
      <w:rPr>
        <w:rFonts w:hint="default"/>
      </w:rPr>
    </w:lvl>
  </w:abstractNum>
  <w:num w:numId="1" w16cid:durableId="1579748676">
    <w:abstractNumId w:val="1"/>
  </w:num>
  <w:num w:numId="2" w16cid:durableId="5996016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vReIiehI/cckDl96W9YSGAeUTH1nMvCkZtP7n+0GpfUOZFgU4h/v0LZSJq2aZERQRbR0Of9rIvDeFnr8D7Jmw==" w:salt="niYW+Hs8ypIZfzbR6mqbeQ=="/>
  <w:defaultTabStop w:val="43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D6"/>
    <w:rsid w:val="00000A70"/>
    <w:rsid w:val="00000E04"/>
    <w:rsid w:val="00002054"/>
    <w:rsid w:val="0000465E"/>
    <w:rsid w:val="00004905"/>
    <w:rsid w:val="00011D96"/>
    <w:rsid w:val="00011E6C"/>
    <w:rsid w:val="000124AE"/>
    <w:rsid w:val="00012A32"/>
    <w:rsid w:val="000133AA"/>
    <w:rsid w:val="0001517C"/>
    <w:rsid w:val="00020BCC"/>
    <w:rsid w:val="00024D73"/>
    <w:rsid w:val="00027DFD"/>
    <w:rsid w:val="0003069E"/>
    <w:rsid w:val="00030860"/>
    <w:rsid w:val="00033E09"/>
    <w:rsid w:val="00036911"/>
    <w:rsid w:val="000374CB"/>
    <w:rsid w:val="000431C2"/>
    <w:rsid w:val="00044820"/>
    <w:rsid w:val="0004562D"/>
    <w:rsid w:val="000471B5"/>
    <w:rsid w:val="00050E2E"/>
    <w:rsid w:val="00051586"/>
    <w:rsid w:val="000517D3"/>
    <w:rsid w:val="00053EE6"/>
    <w:rsid w:val="00056DD4"/>
    <w:rsid w:val="00060007"/>
    <w:rsid w:val="00062E51"/>
    <w:rsid w:val="00063238"/>
    <w:rsid w:val="000634E2"/>
    <w:rsid w:val="0006460F"/>
    <w:rsid w:val="00067419"/>
    <w:rsid w:val="000677F0"/>
    <w:rsid w:val="0006791D"/>
    <w:rsid w:val="00071435"/>
    <w:rsid w:val="0007180F"/>
    <w:rsid w:val="0008041F"/>
    <w:rsid w:val="00080D0D"/>
    <w:rsid w:val="00081745"/>
    <w:rsid w:val="00081CBA"/>
    <w:rsid w:val="00082CF4"/>
    <w:rsid w:val="0008578A"/>
    <w:rsid w:val="00087349"/>
    <w:rsid w:val="00091839"/>
    <w:rsid w:val="00092169"/>
    <w:rsid w:val="00092A5F"/>
    <w:rsid w:val="00096F5F"/>
    <w:rsid w:val="000A202C"/>
    <w:rsid w:val="000A4DC4"/>
    <w:rsid w:val="000B0246"/>
    <w:rsid w:val="000B09E2"/>
    <w:rsid w:val="000B0A76"/>
    <w:rsid w:val="000B19E8"/>
    <w:rsid w:val="000B389B"/>
    <w:rsid w:val="000B5807"/>
    <w:rsid w:val="000B6310"/>
    <w:rsid w:val="000C47E0"/>
    <w:rsid w:val="000C487E"/>
    <w:rsid w:val="000D0E26"/>
    <w:rsid w:val="000D13FB"/>
    <w:rsid w:val="000D2478"/>
    <w:rsid w:val="000D2D3D"/>
    <w:rsid w:val="000D2DC9"/>
    <w:rsid w:val="000D3145"/>
    <w:rsid w:val="000D4E15"/>
    <w:rsid w:val="000D6A4D"/>
    <w:rsid w:val="000D71E3"/>
    <w:rsid w:val="000D792B"/>
    <w:rsid w:val="000D7CFC"/>
    <w:rsid w:val="000E09C9"/>
    <w:rsid w:val="000E1513"/>
    <w:rsid w:val="000E28CA"/>
    <w:rsid w:val="000E2CD6"/>
    <w:rsid w:val="000E2DE9"/>
    <w:rsid w:val="000E45B4"/>
    <w:rsid w:val="000E4647"/>
    <w:rsid w:val="000E5A88"/>
    <w:rsid w:val="000E71A1"/>
    <w:rsid w:val="000E7A4A"/>
    <w:rsid w:val="000E7DC7"/>
    <w:rsid w:val="000F021F"/>
    <w:rsid w:val="000F060A"/>
    <w:rsid w:val="000F0D36"/>
    <w:rsid w:val="000F161F"/>
    <w:rsid w:val="000F2374"/>
    <w:rsid w:val="000F363A"/>
    <w:rsid w:val="000F5215"/>
    <w:rsid w:val="000F5A3C"/>
    <w:rsid w:val="000F5F75"/>
    <w:rsid w:val="001018C7"/>
    <w:rsid w:val="00101C93"/>
    <w:rsid w:val="00103F03"/>
    <w:rsid w:val="00105113"/>
    <w:rsid w:val="00107E5A"/>
    <w:rsid w:val="00114F8F"/>
    <w:rsid w:val="00115C13"/>
    <w:rsid w:val="00115CB3"/>
    <w:rsid w:val="0011630A"/>
    <w:rsid w:val="00121648"/>
    <w:rsid w:val="001229B3"/>
    <w:rsid w:val="00123769"/>
    <w:rsid w:val="00124FED"/>
    <w:rsid w:val="00125B3F"/>
    <w:rsid w:val="00131676"/>
    <w:rsid w:val="0013266C"/>
    <w:rsid w:val="001339B1"/>
    <w:rsid w:val="00134313"/>
    <w:rsid w:val="00136963"/>
    <w:rsid w:val="00140C86"/>
    <w:rsid w:val="001411AC"/>
    <w:rsid w:val="001412F2"/>
    <w:rsid w:val="00143024"/>
    <w:rsid w:val="001435CB"/>
    <w:rsid w:val="00144498"/>
    <w:rsid w:val="0014533F"/>
    <w:rsid w:val="00145353"/>
    <w:rsid w:val="00146AC9"/>
    <w:rsid w:val="00151E7D"/>
    <w:rsid w:val="001551E2"/>
    <w:rsid w:val="0015554F"/>
    <w:rsid w:val="001618FD"/>
    <w:rsid w:val="00164E30"/>
    <w:rsid w:val="00171EB8"/>
    <w:rsid w:val="0017302A"/>
    <w:rsid w:val="00173759"/>
    <w:rsid w:val="0017518B"/>
    <w:rsid w:val="00175929"/>
    <w:rsid w:val="00176211"/>
    <w:rsid w:val="00176546"/>
    <w:rsid w:val="00176D5A"/>
    <w:rsid w:val="0018165B"/>
    <w:rsid w:val="00184A8C"/>
    <w:rsid w:val="001866C0"/>
    <w:rsid w:val="001905C2"/>
    <w:rsid w:val="00193C11"/>
    <w:rsid w:val="00194A90"/>
    <w:rsid w:val="0019584F"/>
    <w:rsid w:val="001A0C13"/>
    <w:rsid w:val="001A26EB"/>
    <w:rsid w:val="001A2D49"/>
    <w:rsid w:val="001A3032"/>
    <w:rsid w:val="001A53A3"/>
    <w:rsid w:val="001A549E"/>
    <w:rsid w:val="001A62AE"/>
    <w:rsid w:val="001A6A27"/>
    <w:rsid w:val="001A7227"/>
    <w:rsid w:val="001A7765"/>
    <w:rsid w:val="001B0549"/>
    <w:rsid w:val="001B3600"/>
    <w:rsid w:val="001B3FED"/>
    <w:rsid w:val="001C3463"/>
    <w:rsid w:val="001C37B3"/>
    <w:rsid w:val="001C40BA"/>
    <w:rsid w:val="001C4463"/>
    <w:rsid w:val="001C545D"/>
    <w:rsid w:val="001C79C9"/>
    <w:rsid w:val="001C7E46"/>
    <w:rsid w:val="001D023A"/>
    <w:rsid w:val="001D24B4"/>
    <w:rsid w:val="001D2516"/>
    <w:rsid w:val="001D6E9D"/>
    <w:rsid w:val="001D78B0"/>
    <w:rsid w:val="001E1E44"/>
    <w:rsid w:val="001E355D"/>
    <w:rsid w:val="001E52E9"/>
    <w:rsid w:val="001E6535"/>
    <w:rsid w:val="001E75C0"/>
    <w:rsid w:val="001F0D10"/>
    <w:rsid w:val="001F3631"/>
    <w:rsid w:val="001F57B1"/>
    <w:rsid w:val="001F7DE5"/>
    <w:rsid w:val="002018F5"/>
    <w:rsid w:val="00202048"/>
    <w:rsid w:val="002021C6"/>
    <w:rsid w:val="00206AB4"/>
    <w:rsid w:val="0020779C"/>
    <w:rsid w:val="00212C6A"/>
    <w:rsid w:val="00221195"/>
    <w:rsid w:val="00224E67"/>
    <w:rsid w:val="002277D0"/>
    <w:rsid w:val="00235468"/>
    <w:rsid w:val="00235AA6"/>
    <w:rsid w:val="00236722"/>
    <w:rsid w:val="00237AC2"/>
    <w:rsid w:val="002420F3"/>
    <w:rsid w:val="0024253A"/>
    <w:rsid w:val="00245C72"/>
    <w:rsid w:val="002470A8"/>
    <w:rsid w:val="002570FC"/>
    <w:rsid w:val="00260154"/>
    <w:rsid w:val="00260BF5"/>
    <w:rsid w:val="002618E7"/>
    <w:rsid w:val="002620E4"/>
    <w:rsid w:val="00265A35"/>
    <w:rsid w:val="0026621A"/>
    <w:rsid w:val="002677E2"/>
    <w:rsid w:val="00271413"/>
    <w:rsid w:val="00277817"/>
    <w:rsid w:val="002802DB"/>
    <w:rsid w:val="00282CA2"/>
    <w:rsid w:val="00282E24"/>
    <w:rsid w:val="00282E52"/>
    <w:rsid w:val="002834A6"/>
    <w:rsid w:val="00284D7E"/>
    <w:rsid w:val="002852BB"/>
    <w:rsid w:val="00285465"/>
    <w:rsid w:val="00287D59"/>
    <w:rsid w:val="00290BC8"/>
    <w:rsid w:val="00295585"/>
    <w:rsid w:val="00297F39"/>
    <w:rsid w:val="002A1BC9"/>
    <w:rsid w:val="002A29F4"/>
    <w:rsid w:val="002A7395"/>
    <w:rsid w:val="002B0E8C"/>
    <w:rsid w:val="002B6988"/>
    <w:rsid w:val="002B6CB8"/>
    <w:rsid w:val="002C0484"/>
    <w:rsid w:val="002C135C"/>
    <w:rsid w:val="002C28A2"/>
    <w:rsid w:val="002C2BD0"/>
    <w:rsid w:val="002C2E37"/>
    <w:rsid w:val="002C525F"/>
    <w:rsid w:val="002C679C"/>
    <w:rsid w:val="002C6F54"/>
    <w:rsid w:val="002D1692"/>
    <w:rsid w:val="002D2716"/>
    <w:rsid w:val="002E6A9F"/>
    <w:rsid w:val="002F1967"/>
    <w:rsid w:val="002F20E0"/>
    <w:rsid w:val="002F4ABB"/>
    <w:rsid w:val="002F52E7"/>
    <w:rsid w:val="002F5E37"/>
    <w:rsid w:val="00302942"/>
    <w:rsid w:val="00303414"/>
    <w:rsid w:val="00317568"/>
    <w:rsid w:val="00324590"/>
    <w:rsid w:val="003255F8"/>
    <w:rsid w:val="0032582A"/>
    <w:rsid w:val="003314C4"/>
    <w:rsid w:val="00332902"/>
    <w:rsid w:val="00334CBF"/>
    <w:rsid w:val="00335220"/>
    <w:rsid w:val="00335830"/>
    <w:rsid w:val="00335D5B"/>
    <w:rsid w:val="00337151"/>
    <w:rsid w:val="00345345"/>
    <w:rsid w:val="003531CC"/>
    <w:rsid w:val="00354E4D"/>
    <w:rsid w:val="00354F8D"/>
    <w:rsid w:val="003560B9"/>
    <w:rsid w:val="00370DC5"/>
    <w:rsid w:val="00371EA8"/>
    <w:rsid w:val="00375B93"/>
    <w:rsid w:val="00376194"/>
    <w:rsid w:val="003762A4"/>
    <w:rsid w:val="003778C0"/>
    <w:rsid w:val="00380061"/>
    <w:rsid w:val="00380DE3"/>
    <w:rsid w:val="003818EC"/>
    <w:rsid w:val="00381DA4"/>
    <w:rsid w:val="003828DD"/>
    <w:rsid w:val="00384CFD"/>
    <w:rsid w:val="00384E04"/>
    <w:rsid w:val="00386106"/>
    <w:rsid w:val="00395B43"/>
    <w:rsid w:val="00396539"/>
    <w:rsid w:val="00397647"/>
    <w:rsid w:val="003A1ADC"/>
    <w:rsid w:val="003A2F9A"/>
    <w:rsid w:val="003A3325"/>
    <w:rsid w:val="003A340A"/>
    <w:rsid w:val="003A3901"/>
    <w:rsid w:val="003A42E3"/>
    <w:rsid w:val="003A4E3E"/>
    <w:rsid w:val="003A5DD5"/>
    <w:rsid w:val="003A5E84"/>
    <w:rsid w:val="003B0B8D"/>
    <w:rsid w:val="003B1266"/>
    <w:rsid w:val="003B2FD0"/>
    <w:rsid w:val="003B56C1"/>
    <w:rsid w:val="003B67BE"/>
    <w:rsid w:val="003B795F"/>
    <w:rsid w:val="003C52E9"/>
    <w:rsid w:val="003C77B9"/>
    <w:rsid w:val="003D153E"/>
    <w:rsid w:val="003D5428"/>
    <w:rsid w:val="003D5858"/>
    <w:rsid w:val="003D72CE"/>
    <w:rsid w:val="003E0E3F"/>
    <w:rsid w:val="003E328A"/>
    <w:rsid w:val="003E3345"/>
    <w:rsid w:val="003F1738"/>
    <w:rsid w:val="003F6185"/>
    <w:rsid w:val="00405EC7"/>
    <w:rsid w:val="00405F7A"/>
    <w:rsid w:val="00406BDE"/>
    <w:rsid w:val="004110DF"/>
    <w:rsid w:val="0041110E"/>
    <w:rsid w:val="00411FD7"/>
    <w:rsid w:val="0042075F"/>
    <w:rsid w:val="00425547"/>
    <w:rsid w:val="00425DC6"/>
    <w:rsid w:val="004263DB"/>
    <w:rsid w:val="00427E9A"/>
    <w:rsid w:val="004331D7"/>
    <w:rsid w:val="0043452F"/>
    <w:rsid w:val="00435D27"/>
    <w:rsid w:val="0043784A"/>
    <w:rsid w:val="004429FF"/>
    <w:rsid w:val="00443729"/>
    <w:rsid w:val="0044397D"/>
    <w:rsid w:val="00445888"/>
    <w:rsid w:val="004501F7"/>
    <w:rsid w:val="00450CA4"/>
    <w:rsid w:val="004535C7"/>
    <w:rsid w:val="00453A85"/>
    <w:rsid w:val="004546EA"/>
    <w:rsid w:val="0046372E"/>
    <w:rsid w:val="0046791A"/>
    <w:rsid w:val="004761E9"/>
    <w:rsid w:val="0048101D"/>
    <w:rsid w:val="004836D1"/>
    <w:rsid w:val="00484FEE"/>
    <w:rsid w:val="004859B7"/>
    <w:rsid w:val="00485F55"/>
    <w:rsid w:val="00487854"/>
    <w:rsid w:val="00487BB2"/>
    <w:rsid w:val="00494073"/>
    <w:rsid w:val="0049418C"/>
    <w:rsid w:val="004A11D9"/>
    <w:rsid w:val="004A12BB"/>
    <w:rsid w:val="004A134D"/>
    <w:rsid w:val="004A5EAD"/>
    <w:rsid w:val="004B1E23"/>
    <w:rsid w:val="004B4891"/>
    <w:rsid w:val="004C1424"/>
    <w:rsid w:val="004C2170"/>
    <w:rsid w:val="004C2751"/>
    <w:rsid w:val="004C4F9B"/>
    <w:rsid w:val="004C5DDC"/>
    <w:rsid w:val="004C6BED"/>
    <w:rsid w:val="004C7B6E"/>
    <w:rsid w:val="004C7E28"/>
    <w:rsid w:val="004D007D"/>
    <w:rsid w:val="004D4D8D"/>
    <w:rsid w:val="004D74D5"/>
    <w:rsid w:val="004E01B7"/>
    <w:rsid w:val="004E0878"/>
    <w:rsid w:val="004E2F8E"/>
    <w:rsid w:val="004E6126"/>
    <w:rsid w:val="004F022C"/>
    <w:rsid w:val="004F2AFF"/>
    <w:rsid w:val="004F3352"/>
    <w:rsid w:val="004F446D"/>
    <w:rsid w:val="004F52D3"/>
    <w:rsid w:val="004F563A"/>
    <w:rsid w:val="004F6296"/>
    <w:rsid w:val="004F6EF5"/>
    <w:rsid w:val="004F7959"/>
    <w:rsid w:val="004F7E7E"/>
    <w:rsid w:val="005000AE"/>
    <w:rsid w:val="00503984"/>
    <w:rsid w:val="00503A4A"/>
    <w:rsid w:val="0050408F"/>
    <w:rsid w:val="00505F4B"/>
    <w:rsid w:val="00506FB0"/>
    <w:rsid w:val="005142EC"/>
    <w:rsid w:val="0051477B"/>
    <w:rsid w:val="0052160C"/>
    <w:rsid w:val="00522FAB"/>
    <w:rsid w:val="0052373C"/>
    <w:rsid w:val="00525A63"/>
    <w:rsid w:val="00527AAE"/>
    <w:rsid w:val="0053382A"/>
    <w:rsid w:val="0053460C"/>
    <w:rsid w:val="00552BD7"/>
    <w:rsid w:val="00556191"/>
    <w:rsid w:val="00557344"/>
    <w:rsid w:val="00561F99"/>
    <w:rsid w:val="00572F64"/>
    <w:rsid w:val="0057301B"/>
    <w:rsid w:val="00574E42"/>
    <w:rsid w:val="005905F8"/>
    <w:rsid w:val="005915EF"/>
    <w:rsid w:val="00591D70"/>
    <w:rsid w:val="00593BDE"/>
    <w:rsid w:val="00593F1E"/>
    <w:rsid w:val="005960AE"/>
    <w:rsid w:val="005A0EF1"/>
    <w:rsid w:val="005A123E"/>
    <w:rsid w:val="005A1712"/>
    <w:rsid w:val="005A28C8"/>
    <w:rsid w:val="005A2A20"/>
    <w:rsid w:val="005A7CBE"/>
    <w:rsid w:val="005B44FF"/>
    <w:rsid w:val="005B4A08"/>
    <w:rsid w:val="005B4DD0"/>
    <w:rsid w:val="005B533D"/>
    <w:rsid w:val="005C3118"/>
    <w:rsid w:val="005D0B6F"/>
    <w:rsid w:val="005D0E25"/>
    <w:rsid w:val="005E0D12"/>
    <w:rsid w:val="005E161B"/>
    <w:rsid w:val="005E2D65"/>
    <w:rsid w:val="005E34C7"/>
    <w:rsid w:val="005E689B"/>
    <w:rsid w:val="005E6D74"/>
    <w:rsid w:val="005E77A4"/>
    <w:rsid w:val="005F1D78"/>
    <w:rsid w:val="005F7DB6"/>
    <w:rsid w:val="00600C20"/>
    <w:rsid w:val="00600C58"/>
    <w:rsid w:val="006055B6"/>
    <w:rsid w:val="00610220"/>
    <w:rsid w:val="00611AA4"/>
    <w:rsid w:val="00614EC9"/>
    <w:rsid w:val="00616E23"/>
    <w:rsid w:val="00617840"/>
    <w:rsid w:val="00622693"/>
    <w:rsid w:val="00622746"/>
    <w:rsid w:val="00623CB1"/>
    <w:rsid w:val="00624475"/>
    <w:rsid w:val="00624869"/>
    <w:rsid w:val="00624E04"/>
    <w:rsid w:val="00627ED7"/>
    <w:rsid w:val="00630410"/>
    <w:rsid w:val="00630484"/>
    <w:rsid w:val="00630535"/>
    <w:rsid w:val="00636006"/>
    <w:rsid w:val="00636C50"/>
    <w:rsid w:val="006412C6"/>
    <w:rsid w:val="00646136"/>
    <w:rsid w:val="006472F0"/>
    <w:rsid w:val="0065077E"/>
    <w:rsid w:val="0065162A"/>
    <w:rsid w:val="00651772"/>
    <w:rsid w:val="00655FF9"/>
    <w:rsid w:val="006623D9"/>
    <w:rsid w:val="00662B37"/>
    <w:rsid w:val="00670778"/>
    <w:rsid w:val="0067214D"/>
    <w:rsid w:val="006730B1"/>
    <w:rsid w:val="0067520C"/>
    <w:rsid w:val="006753B4"/>
    <w:rsid w:val="006800AE"/>
    <w:rsid w:val="006802EB"/>
    <w:rsid w:val="00680E06"/>
    <w:rsid w:val="0068380C"/>
    <w:rsid w:val="00684CA7"/>
    <w:rsid w:val="00684CDB"/>
    <w:rsid w:val="00693297"/>
    <w:rsid w:val="006933F6"/>
    <w:rsid w:val="00693E5D"/>
    <w:rsid w:val="00694BAE"/>
    <w:rsid w:val="00695AE6"/>
    <w:rsid w:val="00695D2E"/>
    <w:rsid w:val="006973D9"/>
    <w:rsid w:val="006A0924"/>
    <w:rsid w:val="006A0E5E"/>
    <w:rsid w:val="006A40CC"/>
    <w:rsid w:val="006A478A"/>
    <w:rsid w:val="006A7EE0"/>
    <w:rsid w:val="006A7FB8"/>
    <w:rsid w:val="006B1C75"/>
    <w:rsid w:val="006B3763"/>
    <w:rsid w:val="006B6255"/>
    <w:rsid w:val="006B6F59"/>
    <w:rsid w:val="006C20D8"/>
    <w:rsid w:val="006C2C80"/>
    <w:rsid w:val="006D000E"/>
    <w:rsid w:val="006D54DB"/>
    <w:rsid w:val="006D5B18"/>
    <w:rsid w:val="006D5CEB"/>
    <w:rsid w:val="006E5573"/>
    <w:rsid w:val="006F0042"/>
    <w:rsid w:val="006F1CAC"/>
    <w:rsid w:val="006F3653"/>
    <w:rsid w:val="006F3C6B"/>
    <w:rsid w:val="00700264"/>
    <w:rsid w:val="00700DFE"/>
    <w:rsid w:val="0070147E"/>
    <w:rsid w:val="007043B9"/>
    <w:rsid w:val="00704F92"/>
    <w:rsid w:val="0070782F"/>
    <w:rsid w:val="00711250"/>
    <w:rsid w:val="00711DDE"/>
    <w:rsid w:val="0071357A"/>
    <w:rsid w:val="00715D3E"/>
    <w:rsid w:val="00716D7C"/>
    <w:rsid w:val="00717933"/>
    <w:rsid w:val="00720F98"/>
    <w:rsid w:val="00721694"/>
    <w:rsid w:val="00721707"/>
    <w:rsid w:val="00723661"/>
    <w:rsid w:val="0072450A"/>
    <w:rsid w:val="00725207"/>
    <w:rsid w:val="00725CCC"/>
    <w:rsid w:val="00727F91"/>
    <w:rsid w:val="00731DEA"/>
    <w:rsid w:val="0073608F"/>
    <w:rsid w:val="00742B57"/>
    <w:rsid w:val="00743433"/>
    <w:rsid w:val="00743C26"/>
    <w:rsid w:val="0074582F"/>
    <w:rsid w:val="007460B4"/>
    <w:rsid w:val="00752D80"/>
    <w:rsid w:val="00753172"/>
    <w:rsid w:val="007542A7"/>
    <w:rsid w:val="00754E8A"/>
    <w:rsid w:val="007603E0"/>
    <w:rsid w:val="00761334"/>
    <w:rsid w:val="0076155E"/>
    <w:rsid w:val="007626A4"/>
    <w:rsid w:val="007642CE"/>
    <w:rsid w:val="007653A6"/>
    <w:rsid w:val="00767C2E"/>
    <w:rsid w:val="007715AE"/>
    <w:rsid w:val="007725B9"/>
    <w:rsid w:val="0077572A"/>
    <w:rsid w:val="00776E89"/>
    <w:rsid w:val="007777AB"/>
    <w:rsid w:val="00781351"/>
    <w:rsid w:val="00782412"/>
    <w:rsid w:val="00783457"/>
    <w:rsid w:val="00783C33"/>
    <w:rsid w:val="00785A4A"/>
    <w:rsid w:val="00790702"/>
    <w:rsid w:val="00791004"/>
    <w:rsid w:val="00791F3A"/>
    <w:rsid w:val="007A1991"/>
    <w:rsid w:val="007A3772"/>
    <w:rsid w:val="007A6B5A"/>
    <w:rsid w:val="007B2EAF"/>
    <w:rsid w:val="007B553F"/>
    <w:rsid w:val="007B6A8C"/>
    <w:rsid w:val="007B6E92"/>
    <w:rsid w:val="007B777B"/>
    <w:rsid w:val="007C2D25"/>
    <w:rsid w:val="007C413C"/>
    <w:rsid w:val="007C4FAF"/>
    <w:rsid w:val="007C7B91"/>
    <w:rsid w:val="007D16F0"/>
    <w:rsid w:val="007E2CD0"/>
    <w:rsid w:val="007E5EBD"/>
    <w:rsid w:val="007F3A5B"/>
    <w:rsid w:val="007F5848"/>
    <w:rsid w:val="007F6B23"/>
    <w:rsid w:val="007F70C2"/>
    <w:rsid w:val="007F76E3"/>
    <w:rsid w:val="007F77B5"/>
    <w:rsid w:val="007F7F7F"/>
    <w:rsid w:val="00800CF8"/>
    <w:rsid w:val="00801FDE"/>
    <w:rsid w:val="00803D2E"/>
    <w:rsid w:val="008046D7"/>
    <w:rsid w:val="008064D8"/>
    <w:rsid w:val="00807346"/>
    <w:rsid w:val="008115D6"/>
    <w:rsid w:val="008125C0"/>
    <w:rsid w:val="00814021"/>
    <w:rsid w:val="0081614E"/>
    <w:rsid w:val="008216BA"/>
    <w:rsid w:val="00824D68"/>
    <w:rsid w:val="008250CF"/>
    <w:rsid w:val="00825E9A"/>
    <w:rsid w:val="00827841"/>
    <w:rsid w:val="00830AE0"/>
    <w:rsid w:val="00830E46"/>
    <w:rsid w:val="0083348E"/>
    <w:rsid w:val="00835425"/>
    <w:rsid w:val="0083591B"/>
    <w:rsid w:val="00836D4A"/>
    <w:rsid w:val="00840038"/>
    <w:rsid w:val="00842570"/>
    <w:rsid w:val="0084786C"/>
    <w:rsid w:val="00851A40"/>
    <w:rsid w:val="00854394"/>
    <w:rsid w:val="00854501"/>
    <w:rsid w:val="00855E77"/>
    <w:rsid w:val="008607D6"/>
    <w:rsid w:val="0086208D"/>
    <w:rsid w:val="008634C3"/>
    <w:rsid w:val="00864A86"/>
    <w:rsid w:val="008670A1"/>
    <w:rsid w:val="00867C87"/>
    <w:rsid w:val="00872572"/>
    <w:rsid w:val="00872E6D"/>
    <w:rsid w:val="0087324D"/>
    <w:rsid w:val="0087491C"/>
    <w:rsid w:val="008754AA"/>
    <w:rsid w:val="0087576B"/>
    <w:rsid w:val="008764B1"/>
    <w:rsid w:val="00876F19"/>
    <w:rsid w:val="008777B8"/>
    <w:rsid w:val="00883787"/>
    <w:rsid w:val="00887F10"/>
    <w:rsid w:val="0089024C"/>
    <w:rsid w:val="00893C0C"/>
    <w:rsid w:val="0089452F"/>
    <w:rsid w:val="00895333"/>
    <w:rsid w:val="0089677D"/>
    <w:rsid w:val="00896C1A"/>
    <w:rsid w:val="008976F9"/>
    <w:rsid w:val="008A1FF1"/>
    <w:rsid w:val="008A316E"/>
    <w:rsid w:val="008A4883"/>
    <w:rsid w:val="008A62DF"/>
    <w:rsid w:val="008A7C63"/>
    <w:rsid w:val="008B0806"/>
    <w:rsid w:val="008B133D"/>
    <w:rsid w:val="008B3CAF"/>
    <w:rsid w:val="008B3FDB"/>
    <w:rsid w:val="008B66BD"/>
    <w:rsid w:val="008C05B7"/>
    <w:rsid w:val="008C1542"/>
    <w:rsid w:val="008C1681"/>
    <w:rsid w:val="008C1B3F"/>
    <w:rsid w:val="008C28F8"/>
    <w:rsid w:val="008C4478"/>
    <w:rsid w:val="008C6903"/>
    <w:rsid w:val="008D0BFF"/>
    <w:rsid w:val="008D155A"/>
    <w:rsid w:val="008D2938"/>
    <w:rsid w:val="008D345E"/>
    <w:rsid w:val="008D64C6"/>
    <w:rsid w:val="008D7620"/>
    <w:rsid w:val="008E4551"/>
    <w:rsid w:val="008E797B"/>
    <w:rsid w:val="008E79B1"/>
    <w:rsid w:val="008F0705"/>
    <w:rsid w:val="008F12B8"/>
    <w:rsid w:val="008F4B1B"/>
    <w:rsid w:val="008F71B6"/>
    <w:rsid w:val="00901717"/>
    <w:rsid w:val="00907E73"/>
    <w:rsid w:val="0091041A"/>
    <w:rsid w:val="00911078"/>
    <w:rsid w:val="009128BB"/>
    <w:rsid w:val="0091311D"/>
    <w:rsid w:val="00913F6A"/>
    <w:rsid w:val="00915547"/>
    <w:rsid w:val="00915D45"/>
    <w:rsid w:val="00916E31"/>
    <w:rsid w:val="0092110D"/>
    <w:rsid w:val="00921370"/>
    <w:rsid w:val="00921D5F"/>
    <w:rsid w:val="00922F0A"/>
    <w:rsid w:val="0092342A"/>
    <w:rsid w:val="00923A91"/>
    <w:rsid w:val="009249BB"/>
    <w:rsid w:val="0093087C"/>
    <w:rsid w:val="0093213C"/>
    <w:rsid w:val="00935234"/>
    <w:rsid w:val="00941BD6"/>
    <w:rsid w:val="009430CA"/>
    <w:rsid w:val="009451C7"/>
    <w:rsid w:val="00950099"/>
    <w:rsid w:val="00950D83"/>
    <w:rsid w:val="009529E7"/>
    <w:rsid w:val="00955777"/>
    <w:rsid w:val="009577D1"/>
    <w:rsid w:val="00957A46"/>
    <w:rsid w:val="00960D46"/>
    <w:rsid w:val="009630E5"/>
    <w:rsid w:val="00965A82"/>
    <w:rsid w:val="0097002D"/>
    <w:rsid w:val="009767B3"/>
    <w:rsid w:val="009768C5"/>
    <w:rsid w:val="00980BAB"/>
    <w:rsid w:val="00981727"/>
    <w:rsid w:val="00981805"/>
    <w:rsid w:val="00981B23"/>
    <w:rsid w:val="00983035"/>
    <w:rsid w:val="0098315E"/>
    <w:rsid w:val="00986D10"/>
    <w:rsid w:val="00986D80"/>
    <w:rsid w:val="00987565"/>
    <w:rsid w:val="009918FE"/>
    <w:rsid w:val="00993677"/>
    <w:rsid w:val="00993BFF"/>
    <w:rsid w:val="00994FC2"/>
    <w:rsid w:val="00996211"/>
    <w:rsid w:val="009A0F6D"/>
    <w:rsid w:val="009A11B8"/>
    <w:rsid w:val="009A4989"/>
    <w:rsid w:val="009A4C0B"/>
    <w:rsid w:val="009A4D23"/>
    <w:rsid w:val="009A66EC"/>
    <w:rsid w:val="009B41B6"/>
    <w:rsid w:val="009B57FD"/>
    <w:rsid w:val="009B619B"/>
    <w:rsid w:val="009C07A1"/>
    <w:rsid w:val="009C0D96"/>
    <w:rsid w:val="009C2445"/>
    <w:rsid w:val="009C2B35"/>
    <w:rsid w:val="009C3142"/>
    <w:rsid w:val="009D30C5"/>
    <w:rsid w:val="009D4980"/>
    <w:rsid w:val="009D6B47"/>
    <w:rsid w:val="009E0B26"/>
    <w:rsid w:val="009E0D89"/>
    <w:rsid w:val="009E755F"/>
    <w:rsid w:val="009F10DB"/>
    <w:rsid w:val="009F4F32"/>
    <w:rsid w:val="009F54BA"/>
    <w:rsid w:val="009F5A74"/>
    <w:rsid w:val="009F73EF"/>
    <w:rsid w:val="009F7A0E"/>
    <w:rsid w:val="00A00BEA"/>
    <w:rsid w:val="00A01234"/>
    <w:rsid w:val="00A01470"/>
    <w:rsid w:val="00A02949"/>
    <w:rsid w:val="00A0298C"/>
    <w:rsid w:val="00A031A5"/>
    <w:rsid w:val="00A03A20"/>
    <w:rsid w:val="00A053C0"/>
    <w:rsid w:val="00A066E7"/>
    <w:rsid w:val="00A13E4F"/>
    <w:rsid w:val="00A14F28"/>
    <w:rsid w:val="00A15428"/>
    <w:rsid w:val="00A22893"/>
    <w:rsid w:val="00A23542"/>
    <w:rsid w:val="00A249C0"/>
    <w:rsid w:val="00A32A75"/>
    <w:rsid w:val="00A336AB"/>
    <w:rsid w:val="00A34CD9"/>
    <w:rsid w:val="00A41FED"/>
    <w:rsid w:val="00A45F8D"/>
    <w:rsid w:val="00A523D4"/>
    <w:rsid w:val="00A527E9"/>
    <w:rsid w:val="00A57F48"/>
    <w:rsid w:val="00A62F4E"/>
    <w:rsid w:val="00A64B61"/>
    <w:rsid w:val="00A65EA8"/>
    <w:rsid w:val="00A7298C"/>
    <w:rsid w:val="00A811B4"/>
    <w:rsid w:val="00A84998"/>
    <w:rsid w:val="00A86169"/>
    <w:rsid w:val="00A86792"/>
    <w:rsid w:val="00A87CA3"/>
    <w:rsid w:val="00A90711"/>
    <w:rsid w:val="00A92521"/>
    <w:rsid w:val="00A933DF"/>
    <w:rsid w:val="00A95B8A"/>
    <w:rsid w:val="00A97CE3"/>
    <w:rsid w:val="00AA0E30"/>
    <w:rsid w:val="00AA1B43"/>
    <w:rsid w:val="00AA3192"/>
    <w:rsid w:val="00AA4F51"/>
    <w:rsid w:val="00AA4F5E"/>
    <w:rsid w:val="00AB0705"/>
    <w:rsid w:val="00AB0EBA"/>
    <w:rsid w:val="00AB1CB3"/>
    <w:rsid w:val="00AB272F"/>
    <w:rsid w:val="00AB408C"/>
    <w:rsid w:val="00AB4653"/>
    <w:rsid w:val="00AB4728"/>
    <w:rsid w:val="00AB6403"/>
    <w:rsid w:val="00AB7C90"/>
    <w:rsid w:val="00AC09BD"/>
    <w:rsid w:val="00AC3562"/>
    <w:rsid w:val="00AC3E8D"/>
    <w:rsid w:val="00AC65CC"/>
    <w:rsid w:val="00AC74B2"/>
    <w:rsid w:val="00AD098D"/>
    <w:rsid w:val="00AD0E9F"/>
    <w:rsid w:val="00AD132A"/>
    <w:rsid w:val="00AD1D18"/>
    <w:rsid w:val="00AD2943"/>
    <w:rsid w:val="00AD6C45"/>
    <w:rsid w:val="00AE0A56"/>
    <w:rsid w:val="00AE2038"/>
    <w:rsid w:val="00AE797F"/>
    <w:rsid w:val="00AF2B41"/>
    <w:rsid w:val="00AF2D70"/>
    <w:rsid w:val="00AF48CD"/>
    <w:rsid w:val="00AF65D3"/>
    <w:rsid w:val="00AF6F33"/>
    <w:rsid w:val="00B0196B"/>
    <w:rsid w:val="00B02700"/>
    <w:rsid w:val="00B03089"/>
    <w:rsid w:val="00B032CB"/>
    <w:rsid w:val="00B03C3A"/>
    <w:rsid w:val="00B05B4E"/>
    <w:rsid w:val="00B0673F"/>
    <w:rsid w:val="00B06A90"/>
    <w:rsid w:val="00B06EEF"/>
    <w:rsid w:val="00B107D0"/>
    <w:rsid w:val="00B110B3"/>
    <w:rsid w:val="00B12273"/>
    <w:rsid w:val="00B13A43"/>
    <w:rsid w:val="00B15E23"/>
    <w:rsid w:val="00B16ABE"/>
    <w:rsid w:val="00B21389"/>
    <w:rsid w:val="00B23EB6"/>
    <w:rsid w:val="00B25EBD"/>
    <w:rsid w:val="00B350AB"/>
    <w:rsid w:val="00B412E2"/>
    <w:rsid w:val="00B532FC"/>
    <w:rsid w:val="00B55C7E"/>
    <w:rsid w:val="00B5617F"/>
    <w:rsid w:val="00B56A3B"/>
    <w:rsid w:val="00B60E73"/>
    <w:rsid w:val="00B61165"/>
    <w:rsid w:val="00B6390B"/>
    <w:rsid w:val="00B63AC8"/>
    <w:rsid w:val="00B6517B"/>
    <w:rsid w:val="00B66847"/>
    <w:rsid w:val="00B66B99"/>
    <w:rsid w:val="00B702AB"/>
    <w:rsid w:val="00B70E09"/>
    <w:rsid w:val="00B7162A"/>
    <w:rsid w:val="00B73661"/>
    <w:rsid w:val="00B76231"/>
    <w:rsid w:val="00B81410"/>
    <w:rsid w:val="00B93126"/>
    <w:rsid w:val="00B945CE"/>
    <w:rsid w:val="00B955BD"/>
    <w:rsid w:val="00B973AB"/>
    <w:rsid w:val="00B9776B"/>
    <w:rsid w:val="00BA4A24"/>
    <w:rsid w:val="00BB0942"/>
    <w:rsid w:val="00BB184B"/>
    <w:rsid w:val="00BB1A64"/>
    <w:rsid w:val="00BB1EED"/>
    <w:rsid w:val="00BB40CD"/>
    <w:rsid w:val="00BB4EFE"/>
    <w:rsid w:val="00BC0489"/>
    <w:rsid w:val="00BC2412"/>
    <w:rsid w:val="00BC5492"/>
    <w:rsid w:val="00BC7012"/>
    <w:rsid w:val="00BD2344"/>
    <w:rsid w:val="00BD553B"/>
    <w:rsid w:val="00BD5B6F"/>
    <w:rsid w:val="00BD64E2"/>
    <w:rsid w:val="00BD671E"/>
    <w:rsid w:val="00BD7F9B"/>
    <w:rsid w:val="00BE30FB"/>
    <w:rsid w:val="00BE315F"/>
    <w:rsid w:val="00BE6415"/>
    <w:rsid w:val="00BF081F"/>
    <w:rsid w:val="00BF2E94"/>
    <w:rsid w:val="00BF494C"/>
    <w:rsid w:val="00C0573E"/>
    <w:rsid w:val="00C12804"/>
    <w:rsid w:val="00C14A7F"/>
    <w:rsid w:val="00C157B2"/>
    <w:rsid w:val="00C16D3F"/>
    <w:rsid w:val="00C206D9"/>
    <w:rsid w:val="00C21AB8"/>
    <w:rsid w:val="00C26852"/>
    <w:rsid w:val="00C27A95"/>
    <w:rsid w:val="00C27F5D"/>
    <w:rsid w:val="00C30FB8"/>
    <w:rsid w:val="00C31A6F"/>
    <w:rsid w:val="00C3208D"/>
    <w:rsid w:val="00C32738"/>
    <w:rsid w:val="00C32F34"/>
    <w:rsid w:val="00C3346F"/>
    <w:rsid w:val="00C34945"/>
    <w:rsid w:val="00C3658F"/>
    <w:rsid w:val="00C3674E"/>
    <w:rsid w:val="00C37656"/>
    <w:rsid w:val="00C40D63"/>
    <w:rsid w:val="00C42B9D"/>
    <w:rsid w:val="00C4334E"/>
    <w:rsid w:val="00C44996"/>
    <w:rsid w:val="00C44A8C"/>
    <w:rsid w:val="00C4520E"/>
    <w:rsid w:val="00C521DC"/>
    <w:rsid w:val="00C52EDA"/>
    <w:rsid w:val="00C544E5"/>
    <w:rsid w:val="00C56214"/>
    <w:rsid w:val="00C57FF6"/>
    <w:rsid w:val="00C6095F"/>
    <w:rsid w:val="00C62560"/>
    <w:rsid w:val="00C628DE"/>
    <w:rsid w:val="00C63190"/>
    <w:rsid w:val="00C637E9"/>
    <w:rsid w:val="00C6609C"/>
    <w:rsid w:val="00C6619E"/>
    <w:rsid w:val="00C6694B"/>
    <w:rsid w:val="00C73457"/>
    <w:rsid w:val="00C76334"/>
    <w:rsid w:val="00C779F2"/>
    <w:rsid w:val="00C81380"/>
    <w:rsid w:val="00C83226"/>
    <w:rsid w:val="00C8379E"/>
    <w:rsid w:val="00C85425"/>
    <w:rsid w:val="00C8709D"/>
    <w:rsid w:val="00C87613"/>
    <w:rsid w:val="00CA1A86"/>
    <w:rsid w:val="00CA27DA"/>
    <w:rsid w:val="00CA3846"/>
    <w:rsid w:val="00CA3DBF"/>
    <w:rsid w:val="00CA6772"/>
    <w:rsid w:val="00CA6856"/>
    <w:rsid w:val="00CB1E58"/>
    <w:rsid w:val="00CB29A1"/>
    <w:rsid w:val="00CB44FD"/>
    <w:rsid w:val="00CB4641"/>
    <w:rsid w:val="00CB46F0"/>
    <w:rsid w:val="00CB53E0"/>
    <w:rsid w:val="00CB7835"/>
    <w:rsid w:val="00CC176E"/>
    <w:rsid w:val="00CC6949"/>
    <w:rsid w:val="00CD0258"/>
    <w:rsid w:val="00CD203D"/>
    <w:rsid w:val="00CD20D8"/>
    <w:rsid w:val="00CD7288"/>
    <w:rsid w:val="00CE358C"/>
    <w:rsid w:val="00CE697E"/>
    <w:rsid w:val="00CE6A19"/>
    <w:rsid w:val="00CE7A23"/>
    <w:rsid w:val="00CE7C67"/>
    <w:rsid w:val="00CF1BA0"/>
    <w:rsid w:val="00CF362D"/>
    <w:rsid w:val="00D029E7"/>
    <w:rsid w:val="00D03577"/>
    <w:rsid w:val="00D04085"/>
    <w:rsid w:val="00D04CAB"/>
    <w:rsid w:val="00D11716"/>
    <w:rsid w:val="00D142D1"/>
    <w:rsid w:val="00D1680E"/>
    <w:rsid w:val="00D315B6"/>
    <w:rsid w:val="00D33D7C"/>
    <w:rsid w:val="00D33DF2"/>
    <w:rsid w:val="00D34478"/>
    <w:rsid w:val="00D35EBE"/>
    <w:rsid w:val="00D36D36"/>
    <w:rsid w:val="00D3769E"/>
    <w:rsid w:val="00D4048D"/>
    <w:rsid w:val="00D41D10"/>
    <w:rsid w:val="00D41F13"/>
    <w:rsid w:val="00D422D5"/>
    <w:rsid w:val="00D42B6A"/>
    <w:rsid w:val="00D449AB"/>
    <w:rsid w:val="00D461D1"/>
    <w:rsid w:val="00D468CB"/>
    <w:rsid w:val="00D51182"/>
    <w:rsid w:val="00D52591"/>
    <w:rsid w:val="00D5486F"/>
    <w:rsid w:val="00D57018"/>
    <w:rsid w:val="00D6019A"/>
    <w:rsid w:val="00D60288"/>
    <w:rsid w:val="00D6285E"/>
    <w:rsid w:val="00D63801"/>
    <w:rsid w:val="00D70E12"/>
    <w:rsid w:val="00D7134C"/>
    <w:rsid w:val="00D723D6"/>
    <w:rsid w:val="00D72492"/>
    <w:rsid w:val="00D72DCF"/>
    <w:rsid w:val="00D734CF"/>
    <w:rsid w:val="00D736E5"/>
    <w:rsid w:val="00D74182"/>
    <w:rsid w:val="00D74C4D"/>
    <w:rsid w:val="00D75424"/>
    <w:rsid w:val="00D77B20"/>
    <w:rsid w:val="00D8329D"/>
    <w:rsid w:val="00D84D2B"/>
    <w:rsid w:val="00D904F7"/>
    <w:rsid w:val="00D92934"/>
    <w:rsid w:val="00D951A8"/>
    <w:rsid w:val="00DA0373"/>
    <w:rsid w:val="00DA059B"/>
    <w:rsid w:val="00DA188C"/>
    <w:rsid w:val="00DA2A56"/>
    <w:rsid w:val="00DA48B0"/>
    <w:rsid w:val="00DA6838"/>
    <w:rsid w:val="00DA7DF1"/>
    <w:rsid w:val="00DB03A7"/>
    <w:rsid w:val="00DB2DE5"/>
    <w:rsid w:val="00DB3381"/>
    <w:rsid w:val="00DB3719"/>
    <w:rsid w:val="00DB3B17"/>
    <w:rsid w:val="00DB3ED7"/>
    <w:rsid w:val="00DB621A"/>
    <w:rsid w:val="00DB7760"/>
    <w:rsid w:val="00DC036D"/>
    <w:rsid w:val="00DC44DF"/>
    <w:rsid w:val="00DC477D"/>
    <w:rsid w:val="00DC5BED"/>
    <w:rsid w:val="00DD0DEA"/>
    <w:rsid w:val="00DD42E4"/>
    <w:rsid w:val="00DE0041"/>
    <w:rsid w:val="00DE27FF"/>
    <w:rsid w:val="00DE71E3"/>
    <w:rsid w:val="00DF1953"/>
    <w:rsid w:val="00DF32D1"/>
    <w:rsid w:val="00DF32EE"/>
    <w:rsid w:val="00DF3D9F"/>
    <w:rsid w:val="00DF4359"/>
    <w:rsid w:val="00DF5B6C"/>
    <w:rsid w:val="00E00330"/>
    <w:rsid w:val="00E020C3"/>
    <w:rsid w:val="00E03FB8"/>
    <w:rsid w:val="00E06554"/>
    <w:rsid w:val="00E06B10"/>
    <w:rsid w:val="00E07DF6"/>
    <w:rsid w:val="00E10D76"/>
    <w:rsid w:val="00E10FA1"/>
    <w:rsid w:val="00E13D3E"/>
    <w:rsid w:val="00E146F7"/>
    <w:rsid w:val="00E16129"/>
    <w:rsid w:val="00E16BF6"/>
    <w:rsid w:val="00E17CE9"/>
    <w:rsid w:val="00E21557"/>
    <w:rsid w:val="00E21AFF"/>
    <w:rsid w:val="00E304FB"/>
    <w:rsid w:val="00E323C6"/>
    <w:rsid w:val="00E35DB5"/>
    <w:rsid w:val="00E3776E"/>
    <w:rsid w:val="00E37D81"/>
    <w:rsid w:val="00E406E4"/>
    <w:rsid w:val="00E41AB7"/>
    <w:rsid w:val="00E46D5B"/>
    <w:rsid w:val="00E501B6"/>
    <w:rsid w:val="00E5182A"/>
    <w:rsid w:val="00E544EF"/>
    <w:rsid w:val="00E62876"/>
    <w:rsid w:val="00E63181"/>
    <w:rsid w:val="00E64340"/>
    <w:rsid w:val="00E64A1D"/>
    <w:rsid w:val="00E669D6"/>
    <w:rsid w:val="00E67E9C"/>
    <w:rsid w:val="00E7120F"/>
    <w:rsid w:val="00E72F3F"/>
    <w:rsid w:val="00E73139"/>
    <w:rsid w:val="00E82414"/>
    <w:rsid w:val="00E8405F"/>
    <w:rsid w:val="00E903D4"/>
    <w:rsid w:val="00E9070E"/>
    <w:rsid w:val="00E921FE"/>
    <w:rsid w:val="00E927CF"/>
    <w:rsid w:val="00E948C4"/>
    <w:rsid w:val="00E972E9"/>
    <w:rsid w:val="00EA3CB9"/>
    <w:rsid w:val="00EA5D50"/>
    <w:rsid w:val="00EA62B6"/>
    <w:rsid w:val="00EA6979"/>
    <w:rsid w:val="00EA6BBE"/>
    <w:rsid w:val="00EB0502"/>
    <w:rsid w:val="00EB18FC"/>
    <w:rsid w:val="00EB22FA"/>
    <w:rsid w:val="00EB41DF"/>
    <w:rsid w:val="00EB6331"/>
    <w:rsid w:val="00EC09D5"/>
    <w:rsid w:val="00EC170E"/>
    <w:rsid w:val="00EC4CA4"/>
    <w:rsid w:val="00EC4FB0"/>
    <w:rsid w:val="00EC54AF"/>
    <w:rsid w:val="00EC5F30"/>
    <w:rsid w:val="00EC7065"/>
    <w:rsid w:val="00ED07B3"/>
    <w:rsid w:val="00ED610E"/>
    <w:rsid w:val="00ED63CC"/>
    <w:rsid w:val="00ED63CF"/>
    <w:rsid w:val="00ED7FED"/>
    <w:rsid w:val="00EE2F00"/>
    <w:rsid w:val="00EE5856"/>
    <w:rsid w:val="00EE71EC"/>
    <w:rsid w:val="00EF0D21"/>
    <w:rsid w:val="00EF2901"/>
    <w:rsid w:val="00EF2A01"/>
    <w:rsid w:val="00EF3162"/>
    <w:rsid w:val="00EF42FE"/>
    <w:rsid w:val="00EF5613"/>
    <w:rsid w:val="00EF6923"/>
    <w:rsid w:val="00EF6924"/>
    <w:rsid w:val="00F001FC"/>
    <w:rsid w:val="00F019A5"/>
    <w:rsid w:val="00F01BBE"/>
    <w:rsid w:val="00F028DA"/>
    <w:rsid w:val="00F160B0"/>
    <w:rsid w:val="00F16579"/>
    <w:rsid w:val="00F25F8C"/>
    <w:rsid w:val="00F26376"/>
    <w:rsid w:val="00F268F2"/>
    <w:rsid w:val="00F27272"/>
    <w:rsid w:val="00F27A70"/>
    <w:rsid w:val="00F27BA6"/>
    <w:rsid w:val="00F30534"/>
    <w:rsid w:val="00F30E15"/>
    <w:rsid w:val="00F32799"/>
    <w:rsid w:val="00F32C61"/>
    <w:rsid w:val="00F332FC"/>
    <w:rsid w:val="00F334BD"/>
    <w:rsid w:val="00F33A60"/>
    <w:rsid w:val="00F33BFB"/>
    <w:rsid w:val="00F34102"/>
    <w:rsid w:val="00F34C02"/>
    <w:rsid w:val="00F376CE"/>
    <w:rsid w:val="00F41302"/>
    <w:rsid w:val="00F438ED"/>
    <w:rsid w:val="00F45D15"/>
    <w:rsid w:val="00F52554"/>
    <w:rsid w:val="00F53EEB"/>
    <w:rsid w:val="00F55608"/>
    <w:rsid w:val="00F60262"/>
    <w:rsid w:val="00F61BAF"/>
    <w:rsid w:val="00F6623D"/>
    <w:rsid w:val="00F7048F"/>
    <w:rsid w:val="00F71EA5"/>
    <w:rsid w:val="00F76441"/>
    <w:rsid w:val="00F76889"/>
    <w:rsid w:val="00F81031"/>
    <w:rsid w:val="00F81286"/>
    <w:rsid w:val="00F8205D"/>
    <w:rsid w:val="00F8334A"/>
    <w:rsid w:val="00F83C8E"/>
    <w:rsid w:val="00F84230"/>
    <w:rsid w:val="00F868ED"/>
    <w:rsid w:val="00F875B0"/>
    <w:rsid w:val="00F92AD6"/>
    <w:rsid w:val="00FA0575"/>
    <w:rsid w:val="00FA1F9C"/>
    <w:rsid w:val="00FA30CF"/>
    <w:rsid w:val="00FA3BDA"/>
    <w:rsid w:val="00FA4133"/>
    <w:rsid w:val="00FA4231"/>
    <w:rsid w:val="00FA46F0"/>
    <w:rsid w:val="00FA500E"/>
    <w:rsid w:val="00FB3299"/>
    <w:rsid w:val="00FB40D6"/>
    <w:rsid w:val="00FB50B0"/>
    <w:rsid w:val="00FC1D2D"/>
    <w:rsid w:val="00FC2B33"/>
    <w:rsid w:val="00FC3593"/>
    <w:rsid w:val="00FC53A3"/>
    <w:rsid w:val="00FC607E"/>
    <w:rsid w:val="00FD0E60"/>
    <w:rsid w:val="00FD4684"/>
    <w:rsid w:val="00FD64EC"/>
    <w:rsid w:val="00FD77AB"/>
    <w:rsid w:val="00FE02DF"/>
    <w:rsid w:val="00FE0D31"/>
    <w:rsid w:val="00FE1EC3"/>
    <w:rsid w:val="00FE2A07"/>
    <w:rsid w:val="00FE617A"/>
    <w:rsid w:val="00FF08F2"/>
    <w:rsid w:val="00FF09B8"/>
    <w:rsid w:val="00FF41FD"/>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2AD94"/>
  <w15:chartTrackingRefBased/>
  <w15:docId w15:val="{5E9A9A04-2A9E-418A-BB03-BD4C429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680"/>
      </w:tabs>
      <w:jc w:val="center"/>
      <w:outlineLvl w:val="0"/>
    </w:pPr>
    <w:rPr>
      <w:b/>
      <w:sz w:val="20"/>
      <w:szCs w:val="20"/>
    </w:rPr>
  </w:style>
  <w:style w:type="paragraph" w:styleId="Heading2">
    <w:name w:val="heading 2"/>
    <w:basedOn w:val="Normal"/>
    <w:next w:val="Normal"/>
    <w:qFormat/>
    <w:pPr>
      <w:keepNext/>
      <w:tabs>
        <w:tab w:val="center" w:pos="4680"/>
      </w:tabs>
      <w:jc w:val="both"/>
      <w:outlineLvl w:val="1"/>
    </w:pPr>
    <w:rPr>
      <w:b/>
      <w:szCs w:val="20"/>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jc w:val="center"/>
      <w:outlineLvl w:val="3"/>
    </w:pPr>
    <w:rPr>
      <w:b/>
      <w:sz w:val="26"/>
      <w:szCs w:val="20"/>
    </w:rPr>
  </w:style>
  <w:style w:type="paragraph" w:styleId="Heading5">
    <w:name w:val="heading 5"/>
    <w:basedOn w:val="Normal"/>
    <w:next w:val="Normal"/>
    <w:qFormat/>
    <w:pPr>
      <w:keepNext/>
      <w:autoSpaceDE w:val="0"/>
      <w:autoSpaceDN w:val="0"/>
      <w:adjustRightInd w:val="0"/>
      <w:spacing w:after="120"/>
      <w:ind w:firstLine="864"/>
      <w:jc w:val="both"/>
      <w:outlineLvl w:val="4"/>
    </w:pPr>
    <w:rPr>
      <w:b/>
      <w:bCs/>
      <w:i/>
      <w:iCs/>
    </w:rPr>
  </w:style>
  <w:style w:type="paragraph" w:styleId="Heading6">
    <w:name w:val="heading 6"/>
    <w:basedOn w:val="Normal"/>
    <w:next w:val="Normal"/>
    <w:qFormat/>
    <w:pPr>
      <w:keepNext/>
      <w:autoSpaceDE w:val="0"/>
      <w:autoSpaceDN w:val="0"/>
      <w:adjustRightInd w:val="0"/>
      <w:spacing w:after="120"/>
      <w:ind w:firstLine="432"/>
      <w:jc w:val="both"/>
      <w:outlineLvl w:val="5"/>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tabs>
        <w:tab w:val="left" w:pos="432"/>
        <w:tab w:val="left" w:pos="720"/>
        <w:tab w:val="left" w:pos="1008"/>
        <w:tab w:val="left" w:pos="1296"/>
        <w:tab w:val="left" w:pos="5040"/>
      </w:tabs>
      <w:jc w:val="both"/>
    </w:pPr>
    <w:rPr>
      <w:szCs w:val="20"/>
    </w:rPr>
  </w:style>
  <w:style w:type="paragraph" w:styleId="Title">
    <w:name w:val="Title"/>
    <w:basedOn w:val="Normal"/>
    <w:link w:val="TitleChar"/>
    <w:qFormat/>
    <w:pPr>
      <w:jc w:val="center"/>
    </w:pPr>
    <w:rPr>
      <w:b/>
      <w:sz w:val="26"/>
      <w:szCs w:val="20"/>
    </w:rPr>
  </w:style>
  <w:style w:type="character" w:styleId="Strong">
    <w:name w:val="Strong"/>
    <w:uiPriority w:val="22"/>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autoSpaceDE w:val="0"/>
      <w:autoSpaceDN w:val="0"/>
      <w:adjustRightInd w:val="0"/>
      <w:spacing w:after="120"/>
      <w:ind w:firstLine="1260"/>
      <w:jc w:val="both"/>
    </w:pPr>
  </w:style>
  <w:style w:type="paragraph" w:styleId="BodyTextIndent2">
    <w:name w:val="Body Text Indent 2"/>
    <w:basedOn w:val="Normal"/>
    <w:pPr>
      <w:autoSpaceDE w:val="0"/>
      <w:autoSpaceDN w:val="0"/>
      <w:adjustRightInd w:val="0"/>
      <w:ind w:firstLine="1620"/>
    </w:pPr>
    <w:rPr>
      <w:rFonts w:ascii="TimesNewRomanPSMT" w:hAnsi="TimesNewRomanPSMT"/>
    </w:rPr>
  </w:style>
  <w:style w:type="paragraph" w:customStyle="1" w:styleId="A">
    <w:name w:val="A."/>
    <w:basedOn w:val="Normal"/>
    <w:pPr>
      <w:tabs>
        <w:tab w:val="left" w:pos="144"/>
        <w:tab w:val="left" w:pos="187"/>
        <w:tab w:val="left" w:pos="540"/>
        <w:tab w:val="left" w:pos="907"/>
        <w:tab w:val="left" w:pos="1080"/>
      </w:tabs>
      <w:ind w:firstLine="187"/>
      <w:jc w:val="both"/>
      <w:outlineLvl w:val="3"/>
    </w:pPr>
    <w:rPr>
      <w:kern w:val="2"/>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7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3677"/>
    <w:rPr>
      <w:color w:val="0000FF"/>
      <w:u w:val="single"/>
    </w:rPr>
  </w:style>
  <w:style w:type="paragraph" w:styleId="MediumList2-Accent4">
    <w:name w:val="Medium List 2 Accent 4"/>
    <w:basedOn w:val="Normal"/>
    <w:uiPriority w:val="34"/>
    <w:qFormat/>
    <w:rsid w:val="00807346"/>
    <w:pPr>
      <w:ind w:left="720"/>
    </w:pPr>
  </w:style>
  <w:style w:type="paragraph" w:customStyle="1" w:styleId="a0">
    <w:name w:val="(a)."/>
    <w:basedOn w:val="Text"/>
    <w:rsid w:val="002C2BD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2C2BD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sz w:val="20"/>
      <w:szCs w:val="20"/>
    </w:rPr>
  </w:style>
  <w:style w:type="paragraph" w:customStyle="1" w:styleId="1">
    <w:name w:val="1."/>
    <w:basedOn w:val="Normal"/>
    <w:rsid w:val="002C2BD0"/>
    <w:pPr>
      <w:tabs>
        <w:tab w:val="left" w:pos="720"/>
        <w:tab w:val="left" w:pos="979"/>
        <w:tab w:val="left" w:pos="1152"/>
      </w:tabs>
      <w:ind w:firstLine="360"/>
      <w:jc w:val="both"/>
      <w:outlineLvl w:val="4"/>
    </w:pPr>
    <w:rPr>
      <w:kern w:val="2"/>
      <w:sz w:val="20"/>
      <w:szCs w:val="20"/>
    </w:rPr>
  </w:style>
  <w:style w:type="paragraph" w:customStyle="1" w:styleId="a1">
    <w:name w:val="a."/>
    <w:basedOn w:val="Normal"/>
    <w:rsid w:val="002C2BD0"/>
    <w:pPr>
      <w:tabs>
        <w:tab w:val="left" w:pos="907"/>
      </w:tabs>
      <w:ind w:firstLine="547"/>
      <w:jc w:val="both"/>
      <w:outlineLvl w:val="5"/>
    </w:pPr>
    <w:rPr>
      <w:kern w:val="2"/>
      <w:sz w:val="20"/>
      <w:szCs w:val="20"/>
    </w:rPr>
  </w:style>
  <w:style w:type="paragraph" w:customStyle="1" w:styleId="AuthorityNote">
    <w:name w:val="Authority Note"/>
    <w:basedOn w:val="Normal"/>
    <w:rsid w:val="002C2BD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szCs w:val="20"/>
    </w:rPr>
  </w:style>
  <w:style w:type="paragraph" w:customStyle="1" w:styleId="Chapter">
    <w:name w:val="Chapter"/>
    <w:basedOn w:val="Normal"/>
    <w:rsid w:val="002C2BD0"/>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sz w:val="20"/>
      <w:szCs w:val="20"/>
    </w:rPr>
  </w:style>
  <w:style w:type="paragraph" w:customStyle="1" w:styleId="HistoricalNote">
    <w:name w:val="Historical Note"/>
    <w:basedOn w:val="Normal"/>
    <w:rsid w:val="002C2BD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szCs w:val="20"/>
    </w:rPr>
  </w:style>
  <w:style w:type="paragraph" w:customStyle="1" w:styleId="i">
    <w:name w:val="i."/>
    <w:basedOn w:val="Text"/>
    <w:rsid w:val="002C2BD0"/>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RegCodePart">
    <w:name w:val="Reg Code Part"/>
    <w:rsid w:val="002C2BD0"/>
    <w:pPr>
      <w:keepNext/>
      <w:jc w:val="center"/>
    </w:pPr>
    <w:rPr>
      <w:b/>
      <w:noProof/>
    </w:rPr>
  </w:style>
  <w:style w:type="paragraph" w:customStyle="1" w:styleId="Section">
    <w:name w:val="Section"/>
    <w:basedOn w:val="Normal"/>
    <w:rsid w:val="002C2BD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sz w:val="20"/>
      <w:szCs w:val="20"/>
    </w:rPr>
  </w:style>
  <w:style w:type="paragraph" w:customStyle="1" w:styleId="RegCodeTitle">
    <w:name w:val="Reg Code Title"/>
    <w:basedOn w:val="Normal"/>
    <w:next w:val="Normal"/>
    <w:link w:val="RegCodeTitleChar"/>
    <w:rsid w:val="002C2BD0"/>
    <w:pPr>
      <w:keepNext/>
      <w:jc w:val="center"/>
    </w:pPr>
    <w:rPr>
      <w:b/>
      <w:kern w:val="28"/>
      <w:sz w:val="20"/>
      <w:szCs w:val="20"/>
    </w:rPr>
  </w:style>
  <w:style w:type="paragraph" w:customStyle="1" w:styleId="RegSignature">
    <w:name w:val="Reg Signature"/>
    <w:basedOn w:val="Normal"/>
    <w:rsid w:val="002C2BD0"/>
    <w:pPr>
      <w:keepNext/>
      <w:ind w:left="2160"/>
      <w:jc w:val="both"/>
    </w:pPr>
    <w:rPr>
      <w:sz w:val="20"/>
      <w:szCs w:val="20"/>
    </w:rPr>
  </w:style>
  <w:style w:type="character" w:customStyle="1" w:styleId="BodyTextChar">
    <w:name w:val="Body Text Char"/>
    <w:link w:val="BodyText"/>
    <w:rsid w:val="002C2BD0"/>
    <w:rPr>
      <w:sz w:val="24"/>
    </w:rPr>
  </w:style>
  <w:style w:type="character" w:customStyle="1" w:styleId="TitleChar">
    <w:name w:val="Title Char"/>
    <w:link w:val="Title"/>
    <w:rsid w:val="002C2BD0"/>
    <w:rPr>
      <w:b/>
      <w:sz w:val="26"/>
    </w:rPr>
  </w:style>
  <w:style w:type="paragraph" w:styleId="Subtitle">
    <w:name w:val="Subtitle"/>
    <w:basedOn w:val="Normal"/>
    <w:link w:val="SubtitleChar"/>
    <w:qFormat/>
    <w:rsid w:val="002C2BD0"/>
    <w:pPr>
      <w:jc w:val="center"/>
    </w:pPr>
    <w:rPr>
      <w:b/>
    </w:rPr>
  </w:style>
  <w:style w:type="character" w:customStyle="1" w:styleId="SubtitleChar">
    <w:name w:val="Subtitle Char"/>
    <w:link w:val="Subtitle"/>
    <w:rsid w:val="002C2BD0"/>
    <w:rPr>
      <w:b/>
      <w:sz w:val="24"/>
      <w:szCs w:val="24"/>
    </w:rPr>
  </w:style>
  <w:style w:type="character" w:customStyle="1" w:styleId="FooterChar">
    <w:name w:val="Footer Char"/>
    <w:link w:val="Footer"/>
    <w:uiPriority w:val="99"/>
    <w:rsid w:val="00BF081F"/>
    <w:rPr>
      <w:sz w:val="24"/>
      <w:szCs w:val="24"/>
    </w:rPr>
  </w:style>
  <w:style w:type="character" w:customStyle="1" w:styleId="RegCodeTitleChar">
    <w:name w:val="Reg Code Title Char"/>
    <w:link w:val="RegCodeTitle"/>
    <w:locked/>
    <w:rsid w:val="00D142D1"/>
    <w:rPr>
      <w:b/>
      <w:kern w:val="28"/>
    </w:rPr>
  </w:style>
  <w:style w:type="paragraph" w:styleId="NormalWeb">
    <w:name w:val="Normal (Web)"/>
    <w:basedOn w:val="Normal"/>
    <w:uiPriority w:val="99"/>
    <w:unhideWhenUsed/>
    <w:rsid w:val="004F022C"/>
    <w:pPr>
      <w:spacing w:before="100" w:beforeAutospacing="1" w:after="100" w:afterAutospacing="1"/>
    </w:pPr>
  </w:style>
  <w:style w:type="character" w:customStyle="1" w:styleId="wordphrase">
    <w:name w:val="wordphrase"/>
    <w:rsid w:val="004F022C"/>
  </w:style>
  <w:style w:type="paragraph" w:customStyle="1" w:styleId="Default">
    <w:name w:val="Default"/>
    <w:rsid w:val="00A14F28"/>
    <w:pPr>
      <w:autoSpaceDE w:val="0"/>
      <w:autoSpaceDN w:val="0"/>
      <w:adjustRightInd w:val="0"/>
    </w:pPr>
    <w:rPr>
      <w:color w:val="000000"/>
      <w:sz w:val="24"/>
      <w:szCs w:val="24"/>
    </w:rPr>
  </w:style>
  <w:style w:type="character" w:styleId="UnresolvedMention">
    <w:name w:val="Unresolved Mention"/>
    <w:uiPriority w:val="99"/>
    <w:semiHidden/>
    <w:unhideWhenUsed/>
    <w:rsid w:val="003B56C1"/>
    <w:rPr>
      <w:color w:val="605E5C"/>
      <w:shd w:val="clear" w:color="auto" w:fill="E1DFDD"/>
    </w:rPr>
  </w:style>
  <w:style w:type="paragraph" w:styleId="Revision">
    <w:name w:val="Revision"/>
    <w:hidden/>
    <w:uiPriority w:val="99"/>
    <w:semiHidden/>
    <w:rsid w:val="009A4D23"/>
    <w:rPr>
      <w:sz w:val="24"/>
      <w:szCs w:val="24"/>
    </w:rPr>
  </w:style>
  <w:style w:type="paragraph" w:customStyle="1" w:styleId="bullets">
    <w:name w:val="bullets"/>
    <w:basedOn w:val="BodyText"/>
    <w:link w:val="bulletsChar"/>
    <w:uiPriority w:val="1"/>
    <w:qFormat/>
    <w:rsid w:val="00B107D0"/>
    <w:pPr>
      <w:numPr>
        <w:numId w:val="1"/>
      </w:numPr>
      <w:tabs>
        <w:tab w:val="clear" w:pos="432"/>
        <w:tab w:val="clear" w:pos="720"/>
        <w:tab w:val="clear" w:pos="1008"/>
        <w:tab w:val="clear" w:pos="1296"/>
        <w:tab w:val="clear" w:pos="5040"/>
      </w:tabs>
      <w:autoSpaceDE w:val="0"/>
      <w:autoSpaceDN w:val="0"/>
      <w:adjustRightInd w:val="0"/>
      <w:spacing w:line="276" w:lineRule="auto"/>
    </w:pPr>
    <w:rPr>
      <w:rFonts w:ascii="Cambria" w:eastAsia="Calibri" w:hAnsi="Cambria"/>
      <w:szCs w:val="24"/>
    </w:rPr>
  </w:style>
  <w:style w:type="character" w:customStyle="1" w:styleId="bulletsChar">
    <w:name w:val="bullets Char"/>
    <w:link w:val="bullets"/>
    <w:uiPriority w:val="1"/>
    <w:rsid w:val="00B107D0"/>
    <w:rPr>
      <w:rFonts w:ascii="Cambria" w:eastAsia="Calibri" w:hAnsi="Cambria"/>
      <w:sz w:val="24"/>
      <w:szCs w:val="24"/>
    </w:rPr>
  </w:style>
  <w:style w:type="paragraph" w:customStyle="1" w:styleId="WPNormal">
    <w:name w:val="WP_Normal"/>
    <w:basedOn w:val="Normal"/>
    <w:rsid w:val="00FD77AB"/>
    <w:pPr>
      <w:widowControl w:val="0"/>
      <w:autoSpaceDE w:val="0"/>
      <w:autoSpaceDN w:val="0"/>
      <w:jc w:val="both"/>
    </w:pPr>
    <w:rPr>
      <w:rFonts w:ascii="New Century Schlbk" w:hAnsi="New Century Schlbk"/>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3220">
      <w:bodyDiv w:val="1"/>
      <w:marLeft w:val="0"/>
      <w:marRight w:val="0"/>
      <w:marTop w:val="0"/>
      <w:marBottom w:val="0"/>
      <w:divBdr>
        <w:top w:val="none" w:sz="0" w:space="0" w:color="auto"/>
        <w:left w:val="none" w:sz="0" w:space="0" w:color="auto"/>
        <w:bottom w:val="none" w:sz="0" w:space="0" w:color="auto"/>
        <w:right w:val="none" w:sz="0" w:space="0" w:color="auto"/>
      </w:divBdr>
      <w:divsChild>
        <w:div w:id="1078088516">
          <w:marLeft w:val="0"/>
          <w:marRight w:val="0"/>
          <w:marTop w:val="0"/>
          <w:marBottom w:val="0"/>
          <w:divBdr>
            <w:top w:val="none" w:sz="0" w:space="0" w:color="auto"/>
            <w:left w:val="none" w:sz="0" w:space="0" w:color="auto"/>
            <w:bottom w:val="none" w:sz="0" w:space="0" w:color="auto"/>
            <w:right w:val="none" w:sz="0" w:space="0" w:color="auto"/>
          </w:divBdr>
          <w:divsChild>
            <w:div w:id="309362104">
              <w:marLeft w:val="0"/>
              <w:marRight w:val="0"/>
              <w:marTop w:val="0"/>
              <w:marBottom w:val="0"/>
              <w:divBdr>
                <w:top w:val="none" w:sz="0" w:space="0" w:color="auto"/>
                <w:left w:val="none" w:sz="0" w:space="0" w:color="auto"/>
                <w:bottom w:val="none" w:sz="0" w:space="0" w:color="auto"/>
                <w:right w:val="none" w:sz="0" w:space="0" w:color="auto"/>
              </w:divBdr>
              <w:divsChild>
                <w:div w:id="1375740717">
                  <w:marLeft w:val="0"/>
                  <w:marRight w:val="0"/>
                  <w:marTop w:val="0"/>
                  <w:marBottom w:val="0"/>
                  <w:divBdr>
                    <w:top w:val="none" w:sz="0" w:space="0" w:color="auto"/>
                    <w:left w:val="none" w:sz="0" w:space="0" w:color="auto"/>
                    <w:bottom w:val="none" w:sz="0" w:space="0" w:color="auto"/>
                    <w:right w:val="none" w:sz="0" w:space="0" w:color="auto"/>
                  </w:divBdr>
                </w:div>
              </w:divsChild>
            </w:div>
            <w:div w:id="560868030">
              <w:marLeft w:val="0"/>
              <w:marRight w:val="0"/>
              <w:marTop w:val="0"/>
              <w:marBottom w:val="0"/>
              <w:divBdr>
                <w:top w:val="none" w:sz="0" w:space="0" w:color="auto"/>
                <w:left w:val="none" w:sz="0" w:space="0" w:color="auto"/>
                <w:bottom w:val="none" w:sz="0" w:space="0" w:color="auto"/>
                <w:right w:val="none" w:sz="0" w:space="0" w:color="auto"/>
              </w:divBdr>
              <w:divsChild>
                <w:div w:id="12728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1646">
      <w:bodyDiv w:val="1"/>
      <w:marLeft w:val="0"/>
      <w:marRight w:val="0"/>
      <w:marTop w:val="0"/>
      <w:marBottom w:val="0"/>
      <w:divBdr>
        <w:top w:val="none" w:sz="0" w:space="0" w:color="auto"/>
        <w:left w:val="none" w:sz="0" w:space="0" w:color="auto"/>
        <w:bottom w:val="none" w:sz="0" w:space="0" w:color="auto"/>
        <w:right w:val="none" w:sz="0" w:space="0" w:color="auto"/>
      </w:divBdr>
    </w:div>
    <w:div w:id="777988700">
      <w:bodyDiv w:val="1"/>
      <w:marLeft w:val="0"/>
      <w:marRight w:val="0"/>
      <w:marTop w:val="0"/>
      <w:marBottom w:val="0"/>
      <w:divBdr>
        <w:top w:val="none" w:sz="0" w:space="0" w:color="auto"/>
        <w:left w:val="none" w:sz="0" w:space="0" w:color="auto"/>
        <w:bottom w:val="none" w:sz="0" w:space="0" w:color="auto"/>
        <w:right w:val="none" w:sz="0" w:space="0" w:color="auto"/>
      </w:divBdr>
      <w:divsChild>
        <w:div w:id="483161814">
          <w:marLeft w:val="0"/>
          <w:marRight w:val="0"/>
          <w:marTop w:val="0"/>
          <w:marBottom w:val="0"/>
          <w:divBdr>
            <w:top w:val="none" w:sz="0" w:space="0" w:color="auto"/>
            <w:left w:val="none" w:sz="0" w:space="0" w:color="auto"/>
            <w:bottom w:val="none" w:sz="0" w:space="0" w:color="auto"/>
            <w:right w:val="none" w:sz="0" w:space="0" w:color="auto"/>
          </w:divBdr>
          <w:divsChild>
            <w:div w:id="2059548199">
              <w:marLeft w:val="0"/>
              <w:marRight w:val="0"/>
              <w:marTop w:val="0"/>
              <w:marBottom w:val="0"/>
              <w:divBdr>
                <w:top w:val="none" w:sz="0" w:space="0" w:color="auto"/>
                <w:left w:val="none" w:sz="0" w:space="0" w:color="auto"/>
                <w:bottom w:val="none" w:sz="0" w:space="0" w:color="auto"/>
                <w:right w:val="none" w:sz="0" w:space="0" w:color="auto"/>
              </w:divBdr>
              <w:divsChild>
                <w:div w:id="5531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5886">
      <w:bodyDiv w:val="1"/>
      <w:marLeft w:val="0"/>
      <w:marRight w:val="0"/>
      <w:marTop w:val="0"/>
      <w:marBottom w:val="0"/>
      <w:divBdr>
        <w:top w:val="none" w:sz="0" w:space="0" w:color="auto"/>
        <w:left w:val="none" w:sz="0" w:space="0" w:color="auto"/>
        <w:bottom w:val="none" w:sz="0" w:space="0" w:color="auto"/>
        <w:right w:val="none" w:sz="0" w:space="0" w:color="auto"/>
      </w:divBdr>
      <w:divsChild>
        <w:div w:id="308442296">
          <w:marLeft w:val="0"/>
          <w:marRight w:val="0"/>
          <w:marTop w:val="0"/>
          <w:marBottom w:val="0"/>
          <w:divBdr>
            <w:top w:val="none" w:sz="0" w:space="0" w:color="auto"/>
            <w:left w:val="none" w:sz="0" w:space="0" w:color="auto"/>
            <w:bottom w:val="none" w:sz="0" w:space="0" w:color="auto"/>
            <w:right w:val="none" w:sz="0" w:space="0" w:color="auto"/>
          </w:divBdr>
          <w:divsChild>
            <w:div w:id="1854297818">
              <w:marLeft w:val="0"/>
              <w:marRight w:val="0"/>
              <w:marTop w:val="0"/>
              <w:marBottom w:val="0"/>
              <w:divBdr>
                <w:top w:val="none" w:sz="0" w:space="0" w:color="auto"/>
                <w:left w:val="none" w:sz="0" w:space="0" w:color="auto"/>
                <w:bottom w:val="none" w:sz="0" w:space="0" w:color="auto"/>
                <w:right w:val="none" w:sz="0" w:space="0" w:color="auto"/>
              </w:divBdr>
              <w:divsChild>
                <w:div w:id="11003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2655">
      <w:bodyDiv w:val="1"/>
      <w:marLeft w:val="0"/>
      <w:marRight w:val="0"/>
      <w:marTop w:val="0"/>
      <w:marBottom w:val="0"/>
      <w:divBdr>
        <w:top w:val="none" w:sz="0" w:space="0" w:color="auto"/>
        <w:left w:val="none" w:sz="0" w:space="0" w:color="auto"/>
        <w:bottom w:val="none" w:sz="0" w:space="0" w:color="auto"/>
        <w:right w:val="none" w:sz="0" w:space="0" w:color="auto"/>
      </w:divBdr>
      <w:divsChild>
        <w:div w:id="7953430">
          <w:marLeft w:val="0"/>
          <w:marRight w:val="0"/>
          <w:marTop w:val="0"/>
          <w:marBottom w:val="0"/>
          <w:divBdr>
            <w:top w:val="none" w:sz="0" w:space="0" w:color="auto"/>
            <w:left w:val="none" w:sz="0" w:space="0" w:color="auto"/>
            <w:bottom w:val="none" w:sz="0" w:space="0" w:color="auto"/>
            <w:right w:val="none" w:sz="0" w:space="0" w:color="auto"/>
          </w:divBdr>
          <w:divsChild>
            <w:div w:id="499273066">
              <w:marLeft w:val="0"/>
              <w:marRight w:val="0"/>
              <w:marTop w:val="0"/>
              <w:marBottom w:val="0"/>
              <w:divBdr>
                <w:top w:val="none" w:sz="0" w:space="0" w:color="auto"/>
                <w:left w:val="none" w:sz="0" w:space="0" w:color="auto"/>
                <w:bottom w:val="none" w:sz="0" w:space="0" w:color="auto"/>
                <w:right w:val="none" w:sz="0" w:space="0" w:color="auto"/>
              </w:divBdr>
              <w:divsChild>
                <w:div w:id="9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6431">
      <w:bodyDiv w:val="1"/>
      <w:marLeft w:val="0"/>
      <w:marRight w:val="0"/>
      <w:marTop w:val="0"/>
      <w:marBottom w:val="0"/>
      <w:divBdr>
        <w:top w:val="none" w:sz="0" w:space="0" w:color="auto"/>
        <w:left w:val="none" w:sz="0" w:space="0" w:color="auto"/>
        <w:bottom w:val="none" w:sz="0" w:space="0" w:color="auto"/>
        <w:right w:val="none" w:sz="0" w:space="0" w:color="auto"/>
      </w:divBdr>
    </w:div>
    <w:div w:id="1992558894">
      <w:bodyDiv w:val="1"/>
      <w:marLeft w:val="0"/>
      <w:marRight w:val="0"/>
      <w:marTop w:val="0"/>
      <w:marBottom w:val="0"/>
      <w:divBdr>
        <w:top w:val="none" w:sz="0" w:space="0" w:color="auto"/>
        <w:left w:val="none" w:sz="0" w:space="0" w:color="auto"/>
        <w:bottom w:val="none" w:sz="0" w:space="0" w:color="auto"/>
        <w:right w:val="none" w:sz="0" w:space="0" w:color="auto"/>
      </w:divBdr>
      <w:divsChild>
        <w:div w:id="600335330">
          <w:marLeft w:val="0"/>
          <w:marRight w:val="0"/>
          <w:marTop w:val="0"/>
          <w:marBottom w:val="0"/>
          <w:divBdr>
            <w:top w:val="none" w:sz="0" w:space="0" w:color="auto"/>
            <w:left w:val="none" w:sz="0" w:space="0" w:color="auto"/>
            <w:bottom w:val="none" w:sz="0" w:space="0" w:color="auto"/>
            <w:right w:val="none" w:sz="0" w:space="0" w:color="auto"/>
          </w:divBdr>
          <w:divsChild>
            <w:div w:id="1219245344">
              <w:marLeft w:val="0"/>
              <w:marRight w:val="0"/>
              <w:marTop w:val="0"/>
              <w:marBottom w:val="0"/>
              <w:divBdr>
                <w:top w:val="none" w:sz="0" w:space="0" w:color="auto"/>
                <w:left w:val="none" w:sz="0" w:space="0" w:color="auto"/>
                <w:bottom w:val="none" w:sz="0" w:space="0" w:color="auto"/>
                <w:right w:val="none" w:sz="0" w:space="0" w:color="auto"/>
              </w:divBdr>
              <w:divsChild>
                <w:div w:id="759252985">
                  <w:marLeft w:val="0"/>
                  <w:marRight w:val="0"/>
                  <w:marTop w:val="0"/>
                  <w:marBottom w:val="0"/>
                  <w:divBdr>
                    <w:top w:val="none" w:sz="0" w:space="0" w:color="auto"/>
                    <w:left w:val="none" w:sz="0" w:space="0" w:color="auto"/>
                    <w:bottom w:val="none" w:sz="0" w:space="0" w:color="auto"/>
                    <w:right w:val="none" w:sz="0" w:space="0" w:color="auto"/>
                  </w:divBdr>
                  <w:divsChild>
                    <w:div w:id="174419600">
                      <w:marLeft w:val="0"/>
                      <w:marRight w:val="0"/>
                      <w:marTop w:val="0"/>
                      <w:marBottom w:val="0"/>
                      <w:divBdr>
                        <w:top w:val="none" w:sz="0" w:space="0" w:color="auto"/>
                        <w:left w:val="none" w:sz="0" w:space="0" w:color="auto"/>
                        <w:bottom w:val="none" w:sz="0" w:space="0" w:color="auto"/>
                        <w:right w:val="none" w:sz="0" w:space="0" w:color="auto"/>
                      </w:divBdr>
                      <w:divsChild>
                        <w:div w:id="479427880">
                          <w:marLeft w:val="0"/>
                          <w:marRight w:val="0"/>
                          <w:marTop w:val="0"/>
                          <w:marBottom w:val="0"/>
                          <w:divBdr>
                            <w:top w:val="none" w:sz="0" w:space="0" w:color="auto"/>
                            <w:left w:val="none" w:sz="0" w:space="0" w:color="auto"/>
                            <w:bottom w:val="none" w:sz="0" w:space="0" w:color="auto"/>
                            <w:right w:val="none" w:sz="0" w:space="0" w:color="auto"/>
                          </w:divBdr>
                          <w:divsChild>
                            <w:div w:id="5965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69829">
      <w:bodyDiv w:val="1"/>
      <w:marLeft w:val="0"/>
      <w:marRight w:val="0"/>
      <w:marTop w:val="0"/>
      <w:marBottom w:val="0"/>
      <w:divBdr>
        <w:top w:val="none" w:sz="0" w:space="0" w:color="auto"/>
        <w:left w:val="none" w:sz="0" w:space="0" w:color="auto"/>
        <w:bottom w:val="none" w:sz="0" w:space="0" w:color="auto"/>
        <w:right w:val="none" w:sz="0" w:space="0" w:color="auto"/>
      </w:divBdr>
      <w:divsChild>
        <w:div w:id="833453808">
          <w:marLeft w:val="0"/>
          <w:marRight w:val="0"/>
          <w:marTop w:val="0"/>
          <w:marBottom w:val="0"/>
          <w:divBdr>
            <w:top w:val="none" w:sz="0" w:space="0" w:color="auto"/>
            <w:left w:val="none" w:sz="0" w:space="0" w:color="auto"/>
            <w:bottom w:val="none" w:sz="0" w:space="0" w:color="auto"/>
            <w:right w:val="none" w:sz="0" w:space="0" w:color="auto"/>
          </w:divBdr>
          <w:divsChild>
            <w:div w:id="467553683">
              <w:marLeft w:val="0"/>
              <w:marRight w:val="0"/>
              <w:marTop w:val="0"/>
              <w:marBottom w:val="0"/>
              <w:divBdr>
                <w:top w:val="none" w:sz="0" w:space="0" w:color="auto"/>
                <w:left w:val="none" w:sz="0" w:space="0" w:color="auto"/>
                <w:bottom w:val="none" w:sz="0" w:space="0" w:color="auto"/>
                <w:right w:val="none" w:sz="0" w:space="0" w:color="auto"/>
              </w:divBdr>
              <w:divsChild>
                <w:div w:id="981428936">
                  <w:marLeft w:val="0"/>
                  <w:marRight w:val="0"/>
                  <w:marTop w:val="0"/>
                  <w:marBottom w:val="0"/>
                  <w:divBdr>
                    <w:top w:val="none" w:sz="0" w:space="0" w:color="auto"/>
                    <w:left w:val="none" w:sz="0" w:space="0" w:color="auto"/>
                    <w:bottom w:val="none" w:sz="0" w:space="0" w:color="auto"/>
                    <w:right w:val="none" w:sz="0" w:space="0" w:color="auto"/>
                  </w:divBdr>
                  <w:divsChild>
                    <w:div w:id="497624618">
                      <w:marLeft w:val="0"/>
                      <w:marRight w:val="0"/>
                      <w:marTop w:val="0"/>
                      <w:marBottom w:val="0"/>
                      <w:divBdr>
                        <w:top w:val="none" w:sz="0" w:space="0" w:color="auto"/>
                        <w:left w:val="none" w:sz="0" w:space="0" w:color="auto"/>
                        <w:bottom w:val="none" w:sz="0" w:space="0" w:color="auto"/>
                        <w:right w:val="none" w:sz="0" w:space="0" w:color="auto"/>
                      </w:divBdr>
                    </w:div>
                    <w:div w:id="808131127">
                      <w:marLeft w:val="0"/>
                      <w:marRight w:val="0"/>
                      <w:marTop w:val="0"/>
                      <w:marBottom w:val="0"/>
                      <w:divBdr>
                        <w:top w:val="none" w:sz="0" w:space="0" w:color="auto"/>
                        <w:left w:val="none" w:sz="0" w:space="0" w:color="auto"/>
                        <w:bottom w:val="none" w:sz="0" w:space="0" w:color="auto"/>
                        <w:right w:val="none" w:sz="0" w:space="0" w:color="auto"/>
                      </w:divBdr>
                    </w:div>
                    <w:div w:id="11550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enue.louisiana.gov/tax-policy/rules-regul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DF204D72A5A4B98BF27A4C9612673" ma:contentTypeVersion="10" ma:contentTypeDescription="Create a new document." ma:contentTypeScope="" ma:versionID="f0a309833b6d59fdb3c10cebf0f7e053">
  <xsd:schema xmlns:xsd="http://www.w3.org/2001/XMLSchema" xmlns:xs="http://www.w3.org/2001/XMLSchema" xmlns:p="http://schemas.microsoft.com/office/2006/metadata/properties" xmlns:ns3="0b3a6f70-8255-46b0-b80d-6369c409110b" targetNamespace="http://schemas.microsoft.com/office/2006/metadata/properties" ma:root="true" ma:fieldsID="b2f8358b97c1f687c41bb42374f9d689" ns3:_="">
    <xsd:import namespace="0b3a6f70-8255-46b0-b80d-6369c40911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a6f70-8255-46b0-b80d-6369c40911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3a6f70-8255-46b0-b80d-6369c409110b" xsi:nil="true"/>
  </documentManagement>
</p:properties>
</file>

<file path=customXml/itemProps1.xml><?xml version="1.0" encoding="utf-8"?>
<ds:datastoreItem xmlns:ds="http://schemas.openxmlformats.org/officeDocument/2006/customXml" ds:itemID="{CE28F236-FEF2-43F0-BB42-4859383B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a6f70-8255-46b0-b80d-6369c4091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CFA60-E375-5E4E-93A8-ED767B523B7D}">
  <ds:schemaRefs>
    <ds:schemaRef ds:uri="http://schemas.openxmlformats.org/officeDocument/2006/bibliography"/>
  </ds:schemaRefs>
</ds:datastoreItem>
</file>

<file path=customXml/itemProps3.xml><?xml version="1.0" encoding="utf-8"?>
<ds:datastoreItem xmlns:ds="http://schemas.openxmlformats.org/officeDocument/2006/customXml" ds:itemID="{881E61CE-C840-47DC-BFA5-AC5074AD3DAA}">
  <ds:schemaRefs>
    <ds:schemaRef ds:uri="http://schemas.microsoft.com/sharepoint/v3/contenttype/forms"/>
  </ds:schemaRefs>
</ds:datastoreItem>
</file>

<file path=customXml/itemProps4.xml><?xml version="1.0" encoding="utf-8"?>
<ds:datastoreItem xmlns:ds="http://schemas.openxmlformats.org/officeDocument/2006/customXml" ds:itemID="{1CFC6FAA-2172-4626-A5B2-B93D834C8CB3}">
  <ds:schemaRefs>
    <ds:schemaRef ds:uri="http://schemas.microsoft.com/office/2006/metadata/properties"/>
    <ds:schemaRef ds:uri="http://schemas.microsoft.com/office/infopath/2007/PartnerControls"/>
    <ds:schemaRef ds:uri="0b3a6f70-8255-46b0-b80d-6369c40911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1713</Words>
  <Characters>8533</Characters>
  <Application>Microsoft Office Word</Application>
  <DocSecurity>8</DocSecurity>
  <Lines>609</Lines>
  <Paragraphs>539</Paragraphs>
  <ScaleCrop>false</ScaleCrop>
  <HeadingPairs>
    <vt:vector size="2" baseType="variant">
      <vt:variant>
        <vt:lpstr>Title</vt:lpstr>
      </vt:variant>
      <vt:variant>
        <vt:i4>1</vt:i4>
      </vt:variant>
    </vt:vector>
  </HeadingPairs>
  <TitlesOfParts>
    <vt:vector size="1" baseType="lpstr">
      <vt:lpstr>Solar Energy Systems Tax Credit</vt:lpstr>
    </vt:vector>
  </TitlesOfParts>
  <Company>LDR</Company>
  <LinksUpToDate>false</LinksUpToDate>
  <CharactersWithSpaces>9707</CharactersWithSpaces>
  <SharedDoc>false</SharedDoc>
  <HLinks>
    <vt:vector size="6" baseType="variant">
      <vt:variant>
        <vt:i4>6946851</vt:i4>
      </vt:variant>
      <vt:variant>
        <vt:i4>0</vt:i4>
      </vt:variant>
      <vt:variant>
        <vt:i4>0</vt:i4>
      </vt:variant>
      <vt:variant>
        <vt:i4>5</vt:i4>
      </vt:variant>
      <vt:variant>
        <vt:lpwstr>https://revenue.louisiana.gov/tax-policy/rules-regulations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Energy Systems Tax Credit</dc:title>
  <dc:subject/>
  <dc:creator>Brad Blanchard</dc:creator>
  <cp:keywords/>
  <cp:lastModifiedBy>Jared Haynes</cp:lastModifiedBy>
  <cp:revision>3</cp:revision>
  <cp:lastPrinted>2025-09-12T14:10:00Z</cp:lastPrinted>
  <dcterms:created xsi:type="dcterms:W3CDTF">2025-12-16T16:08:00Z</dcterms:created>
  <dcterms:modified xsi:type="dcterms:W3CDTF">2025-12-16T16:08:00Z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0x010100C01DF204D72A5A4B98BF27A4C9612673</vt:lpwstr>
  </property>
</Properties>
</file>